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AF86D" w14:textId="77777777" w:rsidR="009E0AC2" w:rsidRPr="004C2B51" w:rsidRDefault="009E0AC2" w:rsidP="00755FFF">
      <w:pPr>
        <w:rPr>
          <w:rFonts w:ascii="Times New Roman" w:hAnsi="Times New Roman" w:cs="Times New Roman"/>
          <w:b/>
          <w:color w:val="2E74B5" w:themeColor="accent1" w:themeShade="BF"/>
          <w:sz w:val="24"/>
          <w:szCs w:val="26"/>
        </w:rPr>
      </w:pPr>
      <w:r w:rsidRPr="004C2B51">
        <w:rPr>
          <w:rFonts w:ascii="Times New Roman" w:hAnsi="Times New Roman" w:cs="Times New Roman"/>
          <w:b/>
          <w:color w:val="2E74B5" w:themeColor="accent1" w:themeShade="BF"/>
          <w:sz w:val="24"/>
          <w:szCs w:val="26"/>
        </w:rPr>
        <w:t>BACKGROUND</w:t>
      </w:r>
    </w:p>
    <w:p w14:paraId="6879281D" w14:textId="77777777" w:rsidR="00755FFF" w:rsidRDefault="00755FFF" w:rsidP="00F76910">
      <w:pPr>
        <w:jc w:val="both"/>
      </w:pPr>
      <w:r>
        <w:t xml:space="preserve">The Prison Rape Elimination Act (PREA) was signed into Federal law in 2003 to address the problem of sexual misconduct in all confinement facilities. In 2012, the U.S. Department of Justice released national PREA standards to prevent, detect and respond to sexual abuse and sexual harassment in confinement facilities. The Act requires all federal, state, and local corrections agencies to have a zero-tolerance policy regarding prisons, jails, police lock-ups, and community confinement facilities. </w:t>
      </w:r>
    </w:p>
    <w:p w14:paraId="0B04DB6C" w14:textId="77777777" w:rsidR="00755FFF" w:rsidRDefault="00755FFF" w:rsidP="00F76910">
      <w:pPr>
        <w:spacing w:before="25"/>
        <w:jc w:val="both"/>
        <w:rPr>
          <w:rFonts w:ascii="Times New Roman"/>
          <w:b/>
          <w:color w:val="1F72AC"/>
          <w:w w:val="105"/>
          <w:sz w:val="26"/>
        </w:rPr>
      </w:pPr>
    </w:p>
    <w:p w14:paraId="54626D83" w14:textId="77777777" w:rsidR="00755FFF" w:rsidRPr="004C2B51" w:rsidRDefault="00755FFF" w:rsidP="00F76910">
      <w:pPr>
        <w:spacing w:before="25"/>
        <w:jc w:val="both"/>
        <w:rPr>
          <w:rFonts w:ascii="Times New Roman" w:eastAsia="Times New Roman" w:hAnsi="Times New Roman" w:cs="Times New Roman"/>
          <w:color w:val="2E74B5" w:themeColor="accent1" w:themeShade="BF"/>
          <w:sz w:val="24"/>
          <w:szCs w:val="26"/>
        </w:rPr>
      </w:pPr>
      <w:r w:rsidRPr="004C2B51">
        <w:rPr>
          <w:rFonts w:ascii="Times New Roman"/>
          <w:b/>
          <w:color w:val="2E74B5" w:themeColor="accent1" w:themeShade="BF"/>
          <w:w w:val="105"/>
          <w:sz w:val="24"/>
        </w:rPr>
        <w:t>REPORTING</w:t>
      </w:r>
      <w:r w:rsidRPr="004C2B51">
        <w:rPr>
          <w:rFonts w:ascii="Times New Roman"/>
          <w:b/>
          <w:color w:val="2E74B5" w:themeColor="accent1" w:themeShade="BF"/>
          <w:spacing w:val="30"/>
          <w:w w:val="105"/>
          <w:sz w:val="24"/>
        </w:rPr>
        <w:t xml:space="preserve"> </w:t>
      </w:r>
      <w:r w:rsidRPr="004C2B51">
        <w:rPr>
          <w:rFonts w:ascii="Times New Roman"/>
          <w:b/>
          <w:color w:val="2E74B5" w:themeColor="accent1" w:themeShade="BF"/>
          <w:w w:val="105"/>
          <w:sz w:val="24"/>
        </w:rPr>
        <w:t>PERIOD</w:t>
      </w:r>
    </w:p>
    <w:p w14:paraId="5F102C08" w14:textId="56146595" w:rsidR="00755FFF" w:rsidRDefault="00755FFF" w:rsidP="00F76910">
      <w:pPr>
        <w:jc w:val="both"/>
      </w:pPr>
      <w:r>
        <w:t xml:space="preserve">As required by the Prison Rape Elimination Act (PREA), the New Jersey Association on Correction (NJAC) has collected and reviewed data on allegations reported from January 1, </w:t>
      </w:r>
      <w:r w:rsidR="003905E0">
        <w:t>2023,</w:t>
      </w:r>
      <w:r w:rsidR="00296189">
        <w:t xml:space="preserve"> through December 31, 202</w:t>
      </w:r>
      <w:r w:rsidR="003905E0">
        <w:t>3</w:t>
      </w:r>
      <w:r>
        <w:t>.</w:t>
      </w:r>
    </w:p>
    <w:p w14:paraId="0A7608E6" w14:textId="77777777" w:rsidR="00755FFF" w:rsidRPr="004C2B51" w:rsidRDefault="00755FFF" w:rsidP="00F76910">
      <w:pPr>
        <w:jc w:val="both"/>
        <w:rPr>
          <w:rFonts w:ascii="Times New Roman" w:hAnsi="Times New Roman" w:cs="Times New Roman"/>
          <w:b/>
          <w:color w:val="2E74B5" w:themeColor="accent1" w:themeShade="BF"/>
          <w:sz w:val="24"/>
          <w:szCs w:val="26"/>
        </w:rPr>
      </w:pPr>
      <w:r w:rsidRPr="004C2B51">
        <w:rPr>
          <w:rFonts w:ascii="Times New Roman" w:hAnsi="Times New Roman" w:cs="Times New Roman"/>
          <w:b/>
          <w:color w:val="2E74B5" w:themeColor="accent1" w:themeShade="BF"/>
          <w:sz w:val="24"/>
          <w:szCs w:val="26"/>
        </w:rPr>
        <w:t>PREA AUDITS AND CERTIFICATIONS</w:t>
      </w:r>
    </w:p>
    <w:p w14:paraId="6D4018CC" w14:textId="12CD0E4C" w:rsidR="00755FFF" w:rsidRDefault="009E0AC2" w:rsidP="00F76910">
      <w:pPr>
        <w:jc w:val="both"/>
      </w:pPr>
      <w:r>
        <w:t xml:space="preserve">Two programs received initial certification: </w:t>
      </w:r>
      <w:r w:rsidR="00755FFF">
        <w:t xml:space="preserve">1 in 2015 and </w:t>
      </w:r>
      <w:r>
        <w:t xml:space="preserve">1 in 2016. </w:t>
      </w:r>
      <w:r w:rsidR="00296189">
        <w:t>They were re-certified in 20</w:t>
      </w:r>
      <w:r w:rsidR="003905E0">
        <w:t>21</w:t>
      </w:r>
      <w:r w:rsidR="00296189">
        <w:t xml:space="preserve">. </w:t>
      </w:r>
      <w:r w:rsidR="00755FFF">
        <w:t xml:space="preserve">Certified </w:t>
      </w:r>
      <w:r>
        <w:t>programs</w:t>
      </w:r>
      <w:r w:rsidR="00755FFF">
        <w:t xml:space="preserve"> met all standards</w:t>
      </w:r>
      <w:r>
        <w:t xml:space="preserve">. </w:t>
      </w:r>
      <w:r w:rsidR="00755FFF">
        <w:t xml:space="preserve">These certifications demonstrate operational excellence and full commitment to our zero-tolerance philosophy and the DOJ National Standards to </w:t>
      </w:r>
      <w:r>
        <w:t>prevent,</w:t>
      </w:r>
      <w:r w:rsidR="00755FFF">
        <w:t xml:space="preserve"> detect, and respond to </w:t>
      </w:r>
      <w:r>
        <w:t>sexual abuse and harassment.</w:t>
      </w:r>
    </w:p>
    <w:p w14:paraId="4F04419F" w14:textId="77777777" w:rsidR="009E0AC2" w:rsidRPr="004C2B51" w:rsidRDefault="009E0AC2" w:rsidP="00F76910">
      <w:pPr>
        <w:jc w:val="both"/>
        <w:rPr>
          <w:rFonts w:ascii="Times New Roman" w:hAnsi="Times New Roman" w:cs="Times New Roman"/>
          <w:b/>
          <w:sz w:val="24"/>
          <w:szCs w:val="26"/>
        </w:rPr>
      </w:pPr>
      <w:r w:rsidRPr="004C2B51">
        <w:rPr>
          <w:rFonts w:ascii="Times New Roman" w:hAnsi="Times New Roman" w:cs="Times New Roman"/>
          <w:b/>
          <w:color w:val="2E74B5" w:themeColor="accent1" w:themeShade="BF"/>
          <w:sz w:val="24"/>
          <w:szCs w:val="26"/>
        </w:rPr>
        <w:t>DEFINITIONS OF TYPES OF FINDINGS</w:t>
      </w:r>
    </w:p>
    <w:p w14:paraId="71563FCF" w14:textId="77777777" w:rsidR="009E0AC2" w:rsidRDefault="009E0AC2" w:rsidP="00F76910">
      <w:pPr>
        <w:jc w:val="both"/>
      </w:pPr>
      <w:r>
        <w:t>Unfounded:</w:t>
      </w:r>
      <w:r>
        <w:tab/>
      </w:r>
      <w:r>
        <w:tab/>
        <w:t xml:space="preserve">investigation determined incident did not occur </w:t>
      </w:r>
    </w:p>
    <w:p w14:paraId="14DADA3E" w14:textId="77777777" w:rsidR="009E0AC2" w:rsidRDefault="009E0AC2" w:rsidP="00F76910">
      <w:pPr>
        <w:ind w:left="2160" w:hanging="2160"/>
        <w:jc w:val="both"/>
      </w:pPr>
      <w:r>
        <w:t xml:space="preserve">Unsubstantiated:   </w:t>
      </w:r>
      <w:r>
        <w:tab/>
        <w:t>investigation determined incident may have occurred, but there was insufficient evidence to prove allegation.</w:t>
      </w:r>
    </w:p>
    <w:p w14:paraId="2AF341AF" w14:textId="77777777" w:rsidR="009E0AC2" w:rsidRDefault="009E0AC2" w:rsidP="00F76910">
      <w:pPr>
        <w:jc w:val="both"/>
      </w:pPr>
      <w:r>
        <w:t xml:space="preserve">Substantiated:  </w:t>
      </w:r>
      <w:r>
        <w:tab/>
      </w:r>
      <w:r>
        <w:tab/>
        <w:t>investigation determined that the allegation occurred.</w:t>
      </w:r>
    </w:p>
    <w:p w14:paraId="512BA326" w14:textId="77777777" w:rsidR="009E0AC2" w:rsidRDefault="009E0AC2" w:rsidP="00F76910">
      <w:pPr>
        <w:jc w:val="both"/>
      </w:pPr>
      <w:r>
        <w:t xml:space="preserve">Ongoing:  </w:t>
      </w:r>
      <w:r>
        <w:tab/>
      </w:r>
      <w:r>
        <w:tab/>
        <w:t>investigation has not been completed.</w:t>
      </w:r>
    </w:p>
    <w:p w14:paraId="121EDB13" w14:textId="77777777" w:rsidR="009E0AC2" w:rsidRPr="004C2B51" w:rsidRDefault="009E0AC2" w:rsidP="00F76910">
      <w:pPr>
        <w:jc w:val="both"/>
        <w:rPr>
          <w:rFonts w:ascii="Times New Roman" w:hAnsi="Times New Roman" w:cs="Times New Roman"/>
          <w:b/>
          <w:color w:val="2E74B5" w:themeColor="accent1" w:themeShade="BF"/>
          <w:sz w:val="24"/>
          <w:szCs w:val="26"/>
        </w:rPr>
      </w:pPr>
      <w:r w:rsidRPr="004C2B51">
        <w:rPr>
          <w:rFonts w:ascii="Times New Roman" w:hAnsi="Times New Roman" w:cs="Times New Roman"/>
          <w:b/>
          <w:color w:val="2E74B5" w:themeColor="accent1" w:themeShade="BF"/>
          <w:sz w:val="24"/>
          <w:szCs w:val="26"/>
        </w:rPr>
        <w:t>TYPES OF ALLEGATIONS</w:t>
      </w:r>
    </w:p>
    <w:p w14:paraId="44C71B74" w14:textId="77777777" w:rsidR="009E0AC2" w:rsidRDefault="009E0AC2" w:rsidP="00F76910">
      <w:pPr>
        <w:jc w:val="both"/>
      </w:pPr>
      <w:r>
        <w:t xml:space="preserve"> There are four incident types: two are Resident-on-Resident actions; two are Staff-on-Resident actions.</w:t>
      </w:r>
    </w:p>
    <w:p w14:paraId="257509C8" w14:textId="77777777" w:rsidR="00510560" w:rsidRDefault="00510560" w:rsidP="00F76910">
      <w:pPr>
        <w:pStyle w:val="ListParagraph"/>
        <w:numPr>
          <w:ilvl w:val="0"/>
          <w:numId w:val="2"/>
        </w:numPr>
        <w:jc w:val="both"/>
        <w:sectPr w:rsidR="00510560" w:rsidSect="00510560">
          <w:headerReference w:type="default" r:id="rId7"/>
          <w:pgSz w:w="12240" w:h="15840"/>
          <w:pgMar w:top="1440" w:right="1440" w:bottom="1440" w:left="1440" w:header="720" w:footer="450" w:gutter="0"/>
          <w:cols w:space="720"/>
          <w:docGrid w:linePitch="360"/>
        </w:sectPr>
      </w:pPr>
    </w:p>
    <w:p w14:paraId="160512ED" w14:textId="77777777" w:rsidR="009E0AC2" w:rsidRDefault="009E0AC2" w:rsidP="00F76910">
      <w:pPr>
        <w:pStyle w:val="ListParagraph"/>
        <w:numPr>
          <w:ilvl w:val="0"/>
          <w:numId w:val="2"/>
        </w:numPr>
        <w:ind w:left="630" w:hanging="270"/>
        <w:jc w:val="both"/>
      </w:pPr>
      <w:r>
        <w:t xml:space="preserve">Resident-on-Resident Sexual Abuse </w:t>
      </w:r>
    </w:p>
    <w:p w14:paraId="5BB3DCB2" w14:textId="77777777" w:rsidR="009E0AC2" w:rsidRDefault="009E0AC2" w:rsidP="00F76910">
      <w:pPr>
        <w:pStyle w:val="ListParagraph"/>
        <w:numPr>
          <w:ilvl w:val="0"/>
          <w:numId w:val="2"/>
        </w:numPr>
        <w:ind w:left="630" w:hanging="270"/>
        <w:jc w:val="both"/>
      </w:pPr>
      <w:r>
        <w:t xml:space="preserve">Resident-on-Resident Sexual Harassment </w:t>
      </w:r>
    </w:p>
    <w:p w14:paraId="1E268743" w14:textId="77777777" w:rsidR="009E0AC2" w:rsidRDefault="009E0AC2" w:rsidP="00F76910">
      <w:pPr>
        <w:pStyle w:val="ListParagraph"/>
        <w:numPr>
          <w:ilvl w:val="0"/>
          <w:numId w:val="2"/>
        </w:numPr>
        <w:ind w:left="630" w:hanging="270"/>
        <w:jc w:val="both"/>
      </w:pPr>
      <w:r>
        <w:t xml:space="preserve">Staff-on-Resident Sexual Abuse </w:t>
      </w:r>
    </w:p>
    <w:p w14:paraId="471FCCB6" w14:textId="77777777" w:rsidR="009E0AC2" w:rsidRDefault="009E0AC2" w:rsidP="00F76910">
      <w:pPr>
        <w:pStyle w:val="ListParagraph"/>
        <w:numPr>
          <w:ilvl w:val="0"/>
          <w:numId w:val="2"/>
        </w:numPr>
        <w:ind w:left="630" w:hanging="270"/>
        <w:jc w:val="both"/>
      </w:pPr>
      <w:r>
        <w:t xml:space="preserve">Staff-on-Resident Sexual Harassment </w:t>
      </w:r>
    </w:p>
    <w:p w14:paraId="29FD44E0" w14:textId="77777777" w:rsidR="00510560" w:rsidRDefault="00510560" w:rsidP="00F76910">
      <w:pPr>
        <w:jc w:val="both"/>
        <w:sectPr w:rsidR="00510560" w:rsidSect="00510560">
          <w:type w:val="continuous"/>
          <w:pgSz w:w="12240" w:h="15840"/>
          <w:pgMar w:top="1440" w:right="1440" w:bottom="1440" w:left="1440" w:header="720" w:footer="450" w:gutter="0"/>
          <w:cols w:num="2" w:space="720"/>
          <w:docGrid w:linePitch="360"/>
        </w:sectPr>
      </w:pPr>
    </w:p>
    <w:p w14:paraId="74480848" w14:textId="32E1D7BC" w:rsidR="009E0AC2" w:rsidRPr="004C2B51" w:rsidRDefault="00C82C08" w:rsidP="00296189">
      <w:pPr>
        <w:tabs>
          <w:tab w:val="left" w:pos="915"/>
        </w:tabs>
        <w:jc w:val="both"/>
        <w:rPr>
          <w:rFonts w:ascii="Times New Roman" w:hAnsi="Times New Roman" w:cs="Times New Roman"/>
          <w:b/>
          <w:color w:val="2E74B5" w:themeColor="accent1" w:themeShade="BF"/>
          <w:sz w:val="24"/>
          <w:szCs w:val="26"/>
        </w:rPr>
      </w:pPr>
      <w:r>
        <w:rPr>
          <w:rFonts w:ascii="Times New Roman" w:hAnsi="Times New Roman" w:cs="Times New Roman"/>
          <w:b/>
          <w:color w:val="2E74B5" w:themeColor="accent1" w:themeShade="BF"/>
          <w:sz w:val="24"/>
          <w:szCs w:val="26"/>
        </w:rPr>
        <w:t>20</w:t>
      </w:r>
      <w:r w:rsidR="00296189">
        <w:rPr>
          <w:rFonts w:ascii="Times New Roman" w:hAnsi="Times New Roman" w:cs="Times New Roman"/>
          <w:b/>
          <w:color w:val="2E74B5" w:themeColor="accent1" w:themeShade="BF"/>
          <w:sz w:val="24"/>
          <w:szCs w:val="26"/>
        </w:rPr>
        <w:t>2</w:t>
      </w:r>
      <w:r w:rsidR="003905E0">
        <w:rPr>
          <w:rFonts w:ascii="Times New Roman" w:hAnsi="Times New Roman" w:cs="Times New Roman"/>
          <w:b/>
          <w:color w:val="2E74B5" w:themeColor="accent1" w:themeShade="BF"/>
          <w:sz w:val="24"/>
          <w:szCs w:val="26"/>
        </w:rPr>
        <w:t>3</w:t>
      </w:r>
      <w:r w:rsidR="009E0AC2" w:rsidRPr="004C2B51">
        <w:rPr>
          <w:rFonts w:ascii="Times New Roman" w:hAnsi="Times New Roman" w:cs="Times New Roman"/>
          <w:b/>
          <w:color w:val="2E74B5" w:themeColor="accent1" w:themeShade="BF"/>
          <w:sz w:val="24"/>
          <w:szCs w:val="26"/>
        </w:rPr>
        <w:t xml:space="preserve"> PREA RESULTS</w:t>
      </w:r>
    </w:p>
    <w:p w14:paraId="0A72BA3B" w14:textId="05A340AB" w:rsidR="009E0AC2" w:rsidRDefault="00C82C08" w:rsidP="00F76910">
      <w:pPr>
        <w:jc w:val="both"/>
      </w:pPr>
      <w:r>
        <w:t>In 20</w:t>
      </w:r>
      <w:r w:rsidR="00296189">
        <w:t>2</w:t>
      </w:r>
      <w:r w:rsidR="003905E0">
        <w:t>3</w:t>
      </w:r>
      <w:r w:rsidR="009E0AC2">
        <w:t xml:space="preserve">, there </w:t>
      </w:r>
      <w:r w:rsidR="009C4888">
        <w:t>were no</w:t>
      </w:r>
      <w:r>
        <w:t xml:space="preserve"> allegation</w:t>
      </w:r>
      <w:r w:rsidR="009C4888">
        <w:t>s th</w:t>
      </w:r>
      <w:r w:rsidR="003905E0">
        <w:t>at</w:t>
      </w:r>
      <w:r w:rsidR="009C4888">
        <w:t xml:space="preserve"> fit the criteria for sexual abuse/sexual harassment denoted in PREA standards in</w:t>
      </w:r>
      <w:r w:rsidR="009E0AC2">
        <w:t xml:space="preserve"> the four incident types listed above. </w:t>
      </w:r>
      <w:r w:rsidR="009C4888">
        <w:t>All allegations are</w:t>
      </w:r>
      <w:r>
        <w:t xml:space="preserve"> </w:t>
      </w:r>
      <w:r w:rsidR="009E0AC2">
        <w:t>referred for investigation</w:t>
      </w:r>
      <w:r w:rsidR="00510560">
        <w:t xml:space="preserve"> </w:t>
      </w:r>
      <w:r w:rsidR="009C4888">
        <w:t>to</w:t>
      </w:r>
      <w:r w:rsidR="00510560">
        <w:t xml:space="preserve"> the New Jersey Department of Corrections, Special Investigation Division.</w:t>
      </w:r>
    </w:p>
    <w:p w14:paraId="6E5F1783" w14:textId="77777777" w:rsidR="00510560" w:rsidRPr="001A7C9A" w:rsidRDefault="00510560" w:rsidP="009E0AC2">
      <w:pPr>
        <w:rPr>
          <w:sz w:val="10"/>
        </w:rPr>
      </w:pPr>
    </w:p>
    <w:p w14:paraId="5115F1A1" w14:textId="77777777" w:rsidR="00510560" w:rsidRPr="004C2B51" w:rsidRDefault="00510560" w:rsidP="009E0AC2">
      <w:pPr>
        <w:rPr>
          <w:rFonts w:ascii="Times New Roman" w:hAnsi="Times New Roman" w:cs="Times New Roman"/>
          <w:b/>
          <w:color w:val="2E74B5" w:themeColor="accent1" w:themeShade="BF"/>
          <w:sz w:val="24"/>
          <w:szCs w:val="26"/>
        </w:rPr>
      </w:pPr>
      <w:r w:rsidRPr="004C2B51">
        <w:rPr>
          <w:rFonts w:ascii="Times New Roman" w:hAnsi="Times New Roman" w:cs="Times New Roman"/>
          <w:b/>
          <w:color w:val="2E74B5" w:themeColor="accent1" w:themeShade="BF"/>
          <w:sz w:val="24"/>
          <w:szCs w:val="26"/>
        </w:rPr>
        <w:t>TABLES</w:t>
      </w:r>
    </w:p>
    <w:p w14:paraId="51E37CD6" w14:textId="2245258E" w:rsidR="00510560" w:rsidRPr="00510560" w:rsidRDefault="00296189" w:rsidP="00510560">
      <w:pPr>
        <w:tabs>
          <w:tab w:val="left" w:pos="929"/>
          <w:tab w:val="left" w:pos="1815"/>
        </w:tabs>
        <w:spacing w:before="248"/>
        <w:ind w:right="27"/>
        <w:jc w:val="center"/>
        <w:rPr>
          <w:rFonts w:ascii="Times New Roman" w:eastAsia="Times New Roman" w:hAnsi="Times New Roman" w:cs="Times New Roman"/>
          <w:b/>
          <w:sz w:val="24"/>
          <w:szCs w:val="28"/>
          <w:u w:val="single" w:color="2E74B5" w:themeColor="accent1" w:themeShade="BF"/>
        </w:rPr>
      </w:pPr>
      <w:r>
        <w:rPr>
          <w:rFonts w:ascii="Times New Roman" w:hAnsi="Times New Roman" w:cs="Times New Roman"/>
          <w:b/>
          <w:spacing w:val="-5"/>
          <w:w w:val="105"/>
          <w:sz w:val="24"/>
          <w:szCs w:val="28"/>
          <w:u w:val="single" w:color="2E74B5" w:themeColor="accent1" w:themeShade="BF"/>
        </w:rPr>
        <w:t>20</w:t>
      </w:r>
      <w:r w:rsidR="003905E0">
        <w:rPr>
          <w:rFonts w:ascii="Times New Roman" w:hAnsi="Times New Roman" w:cs="Times New Roman"/>
          <w:b/>
          <w:spacing w:val="-5"/>
          <w:w w:val="105"/>
          <w:sz w:val="24"/>
          <w:szCs w:val="28"/>
          <w:u w:val="single" w:color="2E74B5" w:themeColor="accent1" w:themeShade="BF"/>
        </w:rPr>
        <w:t>22</w:t>
      </w:r>
      <w:r w:rsidR="00510560" w:rsidRPr="00510560">
        <w:rPr>
          <w:rFonts w:ascii="Times New Roman" w:hAnsi="Times New Roman" w:cs="Times New Roman"/>
          <w:b/>
          <w:spacing w:val="-5"/>
          <w:w w:val="105"/>
          <w:sz w:val="24"/>
          <w:szCs w:val="28"/>
          <w:u w:val="single" w:color="2E74B5" w:themeColor="accent1" w:themeShade="BF"/>
        </w:rPr>
        <w:t xml:space="preserve"> </w:t>
      </w:r>
      <w:r w:rsidR="00510560" w:rsidRPr="00510560">
        <w:rPr>
          <w:rFonts w:ascii="Times New Roman" w:hAnsi="Times New Roman" w:cs="Times New Roman"/>
          <w:b/>
          <w:w w:val="105"/>
          <w:sz w:val="24"/>
          <w:szCs w:val="28"/>
          <w:u w:val="single" w:color="2E74B5" w:themeColor="accent1" w:themeShade="BF"/>
        </w:rPr>
        <w:t>TOTALS</w:t>
      </w:r>
    </w:p>
    <w:tbl>
      <w:tblPr>
        <w:tblStyle w:val="TableGrid"/>
        <w:tblW w:w="0" w:type="auto"/>
        <w:jc w:val="center"/>
        <w:tblLook w:val="04A0" w:firstRow="1" w:lastRow="0" w:firstColumn="1" w:lastColumn="0" w:noHBand="0" w:noVBand="1"/>
      </w:tblPr>
      <w:tblGrid>
        <w:gridCol w:w="3116"/>
        <w:gridCol w:w="2549"/>
        <w:gridCol w:w="1980"/>
      </w:tblGrid>
      <w:tr w:rsidR="00510560" w14:paraId="5B12CE9D" w14:textId="77777777" w:rsidTr="00510560">
        <w:trPr>
          <w:jc w:val="center"/>
        </w:trPr>
        <w:tc>
          <w:tcPr>
            <w:tcW w:w="3116" w:type="dxa"/>
          </w:tcPr>
          <w:p w14:paraId="1F39054C" w14:textId="77777777" w:rsidR="00510560" w:rsidRPr="00510560" w:rsidRDefault="00510560" w:rsidP="00885CF0">
            <w:pPr>
              <w:jc w:val="center"/>
              <w:rPr>
                <w:rFonts w:ascii="Times New Roman" w:hAnsi="Times New Roman" w:cs="Times New Roman"/>
                <w:b/>
                <w:color w:val="0070C0"/>
                <w:sz w:val="26"/>
                <w:szCs w:val="26"/>
              </w:rPr>
            </w:pPr>
            <w:r w:rsidRPr="00510560">
              <w:rPr>
                <w:rFonts w:ascii="Times New Roman" w:hAnsi="Times New Roman" w:cs="Times New Roman"/>
                <w:b/>
                <w:color w:val="0070C0"/>
                <w:sz w:val="26"/>
                <w:szCs w:val="26"/>
              </w:rPr>
              <w:t>Program</w:t>
            </w:r>
          </w:p>
        </w:tc>
        <w:tc>
          <w:tcPr>
            <w:tcW w:w="2549" w:type="dxa"/>
          </w:tcPr>
          <w:p w14:paraId="698CE922" w14:textId="77777777" w:rsidR="00510560" w:rsidRPr="00510560" w:rsidRDefault="00510560" w:rsidP="00885CF0">
            <w:pPr>
              <w:jc w:val="center"/>
              <w:rPr>
                <w:rFonts w:ascii="Times New Roman" w:hAnsi="Times New Roman" w:cs="Times New Roman"/>
                <w:b/>
                <w:color w:val="0070C0"/>
                <w:sz w:val="26"/>
                <w:szCs w:val="26"/>
              </w:rPr>
            </w:pPr>
            <w:r w:rsidRPr="00510560">
              <w:rPr>
                <w:rFonts w:ascii="Times New Roman" w:hAnsi="Times New Roman" w:cs="Times New Roman"/>
                <w:b/>
                <w:color w:val="0070C0"/>
                <w:sz w:val="26"/>
                <w:szCs w:val="26"/>
              </w:rPr>
              <w:t>Allegations</w:t>
            </w:r>
          </w:p>
        </w:tc>
        <w:tc>
          <w:tcPr>
            <w:tcW w:w="1980" w:type="dxa"/>
          </w:tcPr>
          <w:p w14:paraId="5DD8A3DA" w14:textId="77777777" w:rsidR="00510560" w:rsidRPr="00510560" w:rsidRDefault="00510560" w:rsidP="00885CF0">
            <w:pPr>
              <w:jc w:val="center"/>
              <w:rPr>
                <w:rFonts w:ascii="Times New Roman" w:hAnsi="Times New Roman" w:cs="Times New Roman"/>
                <w:b/>
                <w:color w:val="0070C0"/>
                <w:sz w:val="26"/>
                <w:szCs w:val="26"/>
              </w:rPr>
            </w:pPr>
            <w:r w:rsidRPr="00510560">
              <w:rPr>
                <w:rFonts w:ascii="Times New Roman" w:hAnsi="Times New Roman" w:cs="Times New Roman"/>
                <w:b/>
                <w:color w:val="0070C0"/>
                <w:sz w:val="26"/>
                <w:szCs w:val="26"/>
              </w:rPr>
              <w:t>Substantiated</w:t>
            </w:r>
          </w:p>
        </w:tc>
      </w:tr>
      <w:tr w:rsidR="00510560" w14:paraId="4DBAF480" w14:textId="77777777" w:rsidTr="00510560">
        <w:trPr>
          <w:jc w:val="center"/>
        </w:trPr>
        <w:tc>
          <w:tcPr>
            <w:tcW w:w="3116" w:type="dxa"/>
          </w:tcPr>
          <w:p w14:paraId="7B8D56DE" w14:textId="77777777" w:rsidR="00510560" w:rsidRPr="00510560" w:rsidRDefault="00510560" w:rsidP="009E0AC2">
            <w:pPr>
              <w:rPr>
                <w:rFonts w:cs="Times New Roman"/>
              </w:rPr>
            </w:pPr>
            <w:r w:rsidRPr="00510560">
              <w:rPr>
                <w:rFonts w:cs="Times New Roman"/>
              </w:rPr>
              <w:t>Clinton House</w:t>
            </w:r>
          </w:p>
        </w:tc>
        <w:tc>
          <w:tcPr>
            <w:tcW w:w="2549" w:type="dxa"/>
          </w:tcPr>
          <w:p w14:paraId="784A69D2" w14:textId="77777777" w:rsidR="00510560" w:rsidRPr="00510560" w:rsidRDefault="00510560" w:rsidP="00510560">
            <w:pPr>
              <w:jc w:val="center"/>
              <w:rPr>
                <w:rFonts w:cs="Times New Roman"/>
              </w:rPr>
            </w:pPr>
            <w:r w:rsidRPr="00510560">
              <w:rPr>
                <w:rFonts w:cs="Times New Roman"/>
              </w:rPr>
              <w:t>0</w:t>
            </w:r>
          </w:p>
        </w:tc>
        <w:tc>
          <w:tcPr>
            <w:tcW w:w="1980" w:type="dxa"/>
          </w:tcPr>
          <w:p w14:paraId="59CAA223" w14:textId="77777777" w:rsidR="00510560" w:rsidRPr="00510560" w:rsidRDefault="00510560" w:rsidP="00510560">
            <w:pPr>
              <w:jc w:val="center"/>
              <w:rPr>
                <w:rFonts w:cs="Times New Roman"/>
              </w:rPr>
            </w:pPr>
            <w:r w:rsidRPr="00510560">
              <w:rPr>
                <w:rFonts w:cs="Times New Roman"/>
              </w:rPr>
              <w:t>0</w:t>
            </w:r>
          </w:p>
        </w:tc>
      </w:tr>
      <w:tr w:rsidR="00510560" w14:paraId="62A15638" w14:textId="77777777" w:rsidTr="00510560">
        <w:trPr>
          <w:jc w:val="center"/>
        </w:trPr>
        <w:tc>
          <w:tcPr>
            <w:tcW w:w="3116" w:type="dxa"/>
          </w:tcPr>
          <w:p w14:paraId="1842BFE6" w14:textId="77777777" w:rsidR="00510560" w:rsidRPr="00510560" w:rsidRDefault="00510560" w:rsidP="009E0AC2">
            <w:pPr>
              <w:rPr>
                <w:rFonts w:cs="Times New Roman"/>
              </w:rPr>
            </w:pPr>
            <w:r w:rsidRPr="00510560">
              <w:rPr>
                <w:rFonts w:cs="Times New Roman"/>
              </w:rPr>
              <w:t>Millicent Fenwick House</w:t>
            </w:r>
          </w:p>
        </w:tc>
        <w:tc>
          <w:tcPr>
            <w:tcW w:w="2549" w:type="dxa"/>
          </w:tcPr>
          <w:p w14:paraId="53C89586" w14:textId="77777777" w:rsidR="00510560" w:rsidRPr="00510560" w:rsidRDefault="009C4888" w:rsidP="00510560">
            <w:pPr>
              <w:jc w:val="center"/>
              <w:rPr>
                <w:rFonts w:cs="Times New Roman"/>
              </w:rPr>
            </w:pPr>
            <w:r>
              <w:rPr>
                <w:rFonts w:cs="Times New Roman"/>
              </w:rPr>
              <w:t>0</w:t>
            </w:r>
          </w:p>
        </w:tc>
        <w:tc>
          <w:tcPr>
            <w:tcW w:w="1980" w:type="dxa"/>
          </w:tcPr>
          <w:p w14:paraId="511D0DA5" w14:textId="77777777" w:rsidR="00510560" w:rsidRPr="00510560" w:rsidRDefault="00510560" w:rsidP="00510560">
            <w:pPr>
              <w:jc w:val="center"/>
              <w:rPr>
                <w:rFonts w:cs="Times New Roman"/>
              </w:rPr>
            </w:pPr>
            <w:r w:rsidRPr="00510560">
              <w:rPr>
                <w:rFonts w:cs="Times New Roman"/>
              </w:rPr>
              <w:t>0</w:t>
            </w:r>
          </w:p>
        </w:tc>
      </w:tr>
      <w:tr w:rsidR="00296189" w14:paraId="0C12767A" w14:textId="77777777" w:rsidTr="00510560">
        <w:trPr>
          <w:jc w:val="center"/>
        </w:trPr>
        <w:tc>
          <w:tcPr>
            <w:tcW w:w="3116" w:type="dxa"/>
          </w:tcPr>
          <w:p w14:paraId="62759608" w14:textId="77777777" w:rsidR="00296189" w:rsidRPr="00510560" w:rsidRDefault="00296189" w:rsidP="009E0AC2">
            <w:pPr>
              <w:rPr>
                <w:rFonts w:cs="Times New Roman"/>
              </w:rPr>
            </w:pPr>
            <w:r>
              <w:rPr>
                <w:rFonts w:cs="Times New Roman"/>
              </w:rPr>
              <w:t>James A. Hemm House</w:t>
            </w:r>
          </w:p>
        </w:tc>
        <w:tc>
          <w:tcPr>
            <w:tcW w:w="2549" w:type="dxa"/>
          </w:tcPr>
          <w:p w14:paraId="54099C21" w14:textId="77777777" w:rsidR="00296189" w:rsidRDefault="00296189" w:rsidP="00510560">
            <w:pPr>
              <w:jc w:val="center"/>
              <w:rPr>
                <w:rFonts w:cs="Times New Roman"/>
              </w:rPr>
            </w:pPr>
            <w:r>
              <w:rPr>
                <w:rFonts w:cs="Times New Roman"/>
              </w:rPr>
              <w:t>0</w:t>
            </w:r>
          </w:p>
        </w:tc>
        <w:tc>
          <w:tcPr>
            <w:tcW w:w="1980" w:type="dxa"/>
          </w:tcPr>
          <w:p w14:paraId="0FB7750F" w14:textId="77777777" w:rsidR="00296189" w:rsidRPr="00510560" w:rsidRDefault="00296189" w:rsidP="00510560">
            <w:pPr>
              <w:jc w:val="center"/>
              <w:rPr>
                <w:rFonts w:cs="Times New Roman"/>
              </w:rPr>
            </w:pPr>
            <w:r>
              <w:rPr>
                <w:rFonts w:cs="Times New Roman"/>
              </w:rPr>
              <w:t>0</w:t>
            </w:r>
          </w:p>
        </w:tc>
      </w:tr>
      <w:tr w:rsidR="00510560" w14:paraId="7585E8BB" w14:textId="77777777" w:rsidTr="00510560">
        <w:trPr>
          <w:jc w:val="center"/>
        </w:trPr>
        <w:tc>
          <w:tcPr>
            <w:tcW w:w="3116" w:type="dxa"/>
          </w:tcPr>
          <w:p w14:paraId="3B57D85F" w14:textId="77777777" w:rsidR="00510560" w:rsidRPr="00510560" w:rsidRDefault="00510560" w:rsidP="009E0AC2">
            <w:pPr>
              <w:rPr>
                <w:rFonts w:cs="Times New Roman"/>
              </w:rPr>
            </w:pPr>
            <w:r w:rsidRPr="00510560">
              <w:rPr>
                <w:rFonts w:cs="Times New Roman"/>
              </w:rPr>
              <w:t>Total</w:t>
            </w:r>
          </w:p>
        </w:tc>
        <w:tc>
          <w:tcPr>
            <w:tcW w:w="2549" w:type="dxa"/>
          </w:tcPr>
          <w:p w14:paraId="34149B3D" w14:textId="77777777" w:rsidR="00510560" w:rsidRPr="00510560" w:rsidRDefault="001A7C9A" w:rsidP="00510560">
            <w:pPr>
              <w:jc w:val="center"/>
              <w:rPr>
                <w:rFonts w:cs="Times New Roman"/>
              </w:rPr>
            </w:pPr>
            <w:r>
              <w:rPr>
                <w:rFonts w:cs="Times New Roman"/>
              </w:rPr>
              <w:t>0</w:t>
            </w:r>
          </w:p>
        </w:tc>
        <w:tc>
          <w:tcPr>
            <w:tcW w:w="1980" w:type="dxa"/>
          </w:tcPr>
          <w:p w14:paraId="15944E20" w14:textId="77777777" w:rsidR="00510560" w:rsidRPr="00510560" w:rsidRDefault="00510560" w:rsidP="00510560">
            <w:pPr>
              <w:jc w:val="center"/>
              <w:rPr>
                <w:rFonts w:cs="Times New Roman"/>
              </w:rPr>
            </w:pPr>
            <w:r w:rsidRPr="00510560">
              <w:rPr>
                <w:rFonts w:cs="Times New Roman"/>
              </w:rPr>
              <w:t>0</w:t>
            </w:r>
          </w:p>
        </w:tc>
      </w:tr>
    </w:tbl>
    <w:p w14:paraId="2D3E363C" w14:textId="120DAA6F" w:rsidR="00510560" w:rsidRPr="00510560" w:rsidRDefault="00296189" w:rsidP="00510560">
      <w:pPr>
        <w:tabs>
          <w:tab w:val="left" w:pos="929"/>
          <w:tab w:val="left" w:pos="1815"/>
        </w:tabs>
        <w:spacing w:before="248"/>
        <w:ind w:right="27"/>
        <w:jc w:val="center"/>
        <w:rPr>
          <w:rFonts w:ascii="Times New Roman" w:eastAsia="Times New Roman" w:hAnsi="Times New Roman" w:cs="Times New Roman"/>
          <w:b/>
          <w:sz w:val="24"/>
          <w:szCs w:val="28"/>
          <w:u w:val="single" w:color="2E74B5" w:themeColor="accent1" w:themeShade="BF"/>
        </w:rPr>
      </w:pPr>
      <w:r>
        <w:rPr>
          <w:rFonts w:ascii="Times New Roman" w:hAnsi="Times New Roman" w:cs="Times New Roman"/>
          <w:b/>
          <w:spacing w:val="-5"/>
          <w:w w:val="105"/>
          <w:sz w:val="24"/>
          <w:szCs w:val="28"/>
          <w:u w:val="single" w:color="2E74B5" w:themeColor="accent1" w:themeShade="BF"/>
        </w:rPr>
        <w:t>202</w:t>
      </w:r>
      <w:r w:rsidR="003905E0">
        <w:rPr>
          <w:rFonts w:ascii="Times New Roman" w:hAnsi="Times New Roman" w:cs="Times New Roman"/>
          <w:b/>
          <w:spacing w:val="-5"/>
          <w:w w:val="105"/>
          <w:sz w:val="24"/>
          <w:szCs w:val="28"/>
          <w:u w:val="single" w:color="2E74B5" w:themeColor="accent1" w:themeShade="BF"/>
        </w:rPr>
        <w:t>3</w:t>
      </w:r>
      <w:r w:rsidR="00510560" w:rsidRPr="00510560">
        <w:rPr>
          <w:rFonts w:ascii="Times New Roman" w:hAnsi="Times New Roman" w:cs="Times New Roman"/>
          <w:b/>
          <w:spacing w:val="-5"/>
          <w:w w:val="105"/>
          <w:sz w:val="24"/>
          <w:szCs w:val="28"/>
          <w:u w:val="single" w:color="2E74B5" w:themeColor="accent1" w:themeShade="BF"/>
        </w:rPr>
        <w:t xml:space="preserve"> </w:t>
      </w:r>
      <w:r w:rsidR="00510560" w:rsidRPr="00510560">
        <w:rPr>
          <w:rFonts w:ascii="Times New Roman" w:hAnsi="Times New Roman" w:cs="Times New Roman"/>
          <w:b/>
          <w:w w:val="105"/>
          <w:sz w:val="24"/>
          <w:szCs w:val="28"/>
          <w:u w:val="single" w:color="2E74B5" w:themeColor="accent1" w:themeShade="BF"/>
        </w:rPr>
        <w:t>TOTALS</w:t>
      </w:r>
    </w:p>
    <w:tbl>
      <w:tblPr>
        <w:tblStyle w:val="TableGrid"/>
        <w:tblW w:w="0" w:type="auto"/>
        <w:jc w:val="center"/>
        <w:tblLook w:val="04A0" w:firstRow="1" w:lastRow="0" w:firstColumn="1" w:lastColumn="0" w:noHBand="0" w:noVBand="1"/>
      </w:tblPr>
      <w:tblGrid>
        <w:gridCol w:w="3116"/>
        <w:gridCol w:w="2549"/>
        <w:gridCol w:w="1980"/>
      </w:tblGrid>
      <w:tr w:rsidR="00510560" w14:paraId="7D15CFA2" w14:textId="77777777" w:rsidTr="003106E1">
        <w:trPr>
          <w:jc w:val="center"/>
        </w:trPr>
        <w:tc>
          <w:tcPr>
            <w:tcW w:w="3116" w:type="dxa"/>
          </w:tcPr>
          <w:p w14:paraId="46B36FA4" w14:textId="77777777" w:rsidR="00510560" w:rsidRPr="00510560" w:rsidRDefault="00510560" w:rsidP="00885CF0">
            <w:pPr>
              <w:jc w:val="center"/>
              <w:rPr>
                <w:rFonts w:ascii="Times New Roman" w:hAnsi="Times New Roman" w:cs="Times New Roman"/>
                <w:b/>
                <w:color w:val="0070C0"/>
                <w:sz w:val="26"/>
                <w:szCs w:val="26"/>
              </w:rPr>
            </w:pPr>
            <w:r w:rsidRPr="00510560">
              <w:rPr>
                <w:rFonts w:ascii="Times New Roman" w:hAnsi="Times New Roman" w:cs="Times New Roman"/>
                <w:b/>
                <w:color w:val="0070C0"/>
                <w:sz w:val="26"/>
                <w:szCs w:val="26"/>
              </w:rPr>
              <w:t>Program</w:t>
            </w:r>
          </w:p>
        </w:tc>
        <w:tc>
          <w:tcPr>
            <w:tcW w:w="2549" w:type="dxa"/>
          </w:tcPr>
          <w:p w14:paraId="6CCECA3B" w14:textId="77777777" w:rsidR="00510560" w:rsidRPr="00510560" w:rsidRDefault="00510560" w:rsidP="00885CF0">
            <w:pPr>
              <w:jc w:val="center"/>
              <w:rPr>
                <w:rFonts w:ascii="Times New Roman" w:hAnsi="Times New Roman" w:cs="Times New Roman"/>
                <w:b/>
                <w:color w:val="0070C0"/>
                <w:sz w:val="26"/>
                <w:szCs w:val="26"/>
              </w:rPr>
            </w:pPr>
            <w:r w:rsidRPr="00510560">
              <w:rPr>
                <w:rFonts w:ascii="Times New Roman" w:hAnsi="Times New Roman" w:cs="Times New Roman"/>
                <w:b/>
                <w:color w:val="0070C0"/>
                <w:sz w:val="26"/>
                <w:szCs w:val="26"/>
              </w:rPr>
              <w:t>Allegations</w:t>
            </w:r>
          </w:p>
        </w:tc>
        <w:tc>
          <w:tcPr>
            <w:tcW w:w="1980" w:type="dxa"/>
          </w:tcPr>
          <w:p w14:paraId="5431299A" w14:textId="77777777" w:rsidR="00510560" w:rsidRPr="00510560" w:rsidRDefault="00510560" w:rsidP="00885CF0">
            <w:pPr>
              <w:jc w:val="center"/>
              <w:rPr>
                <w:rFonts w:ascii="Times New Roman" w:hAnsi="Times New Roman" w:cs="Times New Roman"/>
                <w:b/>
                <w:color w:val="0070C0"/>
                <w:sz w:val="26"/>
                <w:szCs w:val="26"/>
              </w:rPr>
            </w:pPr>
            <w:r w:rsidRPr="00510560">
              <w:rPr>
                <w:rFonts w:ascii="Times New Roman" w:hAnsi="Times New Roman" w:cs="Times New Roman"/>
                <w:b/>
                <w:color w:val="0070C0"/>
                <w:sz w:val="26"/>
                <w:szCs w:val="26"/>
              </w:rPr>
              <w:t>Substantiated</w:t>
            </w:r>
          </w:p>
        </w:tc>
      </w:tr>
      <w:tr w:rsidR="00510560" w14:paraId="0630EE4D" w14:textId="77777777" w:rsidTr="003106E1">
        <w:trPr>
          <w:jc w:val="center"/>
        </w:trPr>
        <w:tc>
          <w:tcPr>
            <w:tcW w:w="3116" w:type="dxa"/>
          </w:tcPr>
          <w:p w14:paraId="48CB801F" w14:textId="77777777" w:rsidR="00510560" w:rsidRPr="00510560" w:rsidRDefault="00510560" w:rsidP="003106E1">
            <w:pPr>
              <w:rPr>
                <w:rFonts w:cs="Times New Roman"/>
              </w:rPr>
            </w:pPr>
            <w:r w:rsidRPr="00510560">
              <w:rPr>
                <w:rFonts w:cs="Times New Roman"/>
              </w:rPr>
              <w:t>Clinton House</w:t>
            </w:r>
          </w:p>
        </w:tc>
        <w:tc>
          <w:tcPr>
            <w:tcW w:w="2549" w:type="dxa"/>
          </w:tcPr>
          <w:p w14:paraId="41FF1248" w14:textId="77777777" w:rsidR="00510560" w:rsidRPr="00510560" w:rsidRDefault="00510560" w:rsidP="003106E1">
            <w:pPr>
              <w:jc w:val="center"/>
              <w:rPr>
                <w:rFonts w:cs="Times New Roman"/>
              </w:rPr>
            </w:pPr>
            <w:r w:rsidRPr="00510560">
              <w:rPr>
                <w:rFonts w:cs="Times New Roman"/>
              </w:rPr>
              <w:t>0</w:t>
            </w:r>
          </w:p>
        </w:tc>
        <w:tc>
          <w:tcPr>
            <w:tcW w:w="1980" w:type="dxa"/>
          </w:tcPr>
          <w:p w14:paraId="716D3902" w14:textId="77777777" w:rsidR="00510560" w:rsidRPr="00510560" w:rsidRDefault="00510560" w:rsidP="003106E1">
            <w:pPr>
              <w:jc w:val="center"/>
              <w:rPr>
                <w:rFonts w:cs="Times New Roman"/>
              </w:rPr>
            </w:pPr>
            <w:r w:rsidRPr="00510560">
              <w:rPr>
                <w:rFonts w:cs="Times New Roman"/>
              </w:rPr>
              <w:t>0</w:t>
            </w:r>
          </w:p>
        </w:tc>
      </w:tr>
      <w:tr w:rsidR="00510560" w14:paraId="258D8988" w14:textId="77777777" w:rsidTr="003106E1">
        <w:trPr>
          <w:jc w:val="center"/>
        </w:trPr>
        <w:tc>
          <w:tcPr>
            <w:tcW w:w="3116" w:type="dxa"/>
          </w:tcPr>
          <w:p w14:paraId="1E32BB18" w14:textId="77777777" w:rsidR="00510560" w:rsidRPr="00510560" w:rsidRDefault="00510560" w:rsidP="003106E1">
            <w:pPr>
              <w:rPr>
                <w:rFonts w:cs="Times New Roman"/>
              </w:rPr>
            </w:pPr>
            <w:r w:rsidRPr="00510560">
              <w:rPr>
                <w:rFonts w:cs="Times New Roman"/>
              </w:rPr>
              <w:t>Millicent Fenwick House</w:t>
            </w:r>
          </w:p>
        </w:tc>
        <w:tc>
          <w:tcPr>
            <w:tcW w:w="2549" w:type="dxa"/>
          </w:tcPr>
          <w:p w14:paraId="1B404743" w14:textId="77777777" w:rsidR="00510560" w:rsidRPr="00510560" w:rsidRDefault="00296189" w:rsidP="003106E1">
            <w:pPr>
              <w:jc w:val="center"/>
              <w:rPr>
                <w:rFonts w:cs="Times New Roman"/>
              </w:rPr>
            </w:pPr>
            <w:r>
              <w:rPr>
                <w:rFonts w:cs="Times New Roman"/>
              </w:rPr>
              <w:t>0</w:t>
            </w:r>
          </w:p>
        </w:tc>
        <w:tc>
          <w:tcPr>
            <w:tcW w:w="1980" w:type="dxa"/>
          </w:tcPr>
          <w:p w14:paraId="0BFA8A05" w14:textId="77777777" w:rsidR="00510560" w:rsidRPr="00510560" w:rsidRDefault="00510560" w:rsidP="003106E1">
            <w:pPr>
              <w:jc w:val="center"/>
              <w:rPr>
                <w:rFonts w:cs="Times New Roman"/>
              </w:rPr>
            </w:pPr>
            <w:r w:rsidRPr="00510560">
              <w:rPr>
                <w:rFonts w:cs="Times New Roman"/>
              </w:rPr>
              <w:t>0</w:t>
            </w:r>
          </w:p>
        </w:tc>
      </w:tr>
      <w:tr w:rsidR="00296189" w14:paraId="06384900" w14:textId="77777777" w:rsidTr="003106E1">
        <w:trPr>
          <w:jc w:val="center"/>
        </w:trPr>
        <w:tc>
          <w:tcPr>
            <w:tcW w:w="3116" w:type="dxa"/>
          </w:tcPr>
          <w:p w14:paraId="41E1E439" w14:textId="77777777" w:rsidR="00296189" w:rsidRPr="00510560" w:rsidRDefault="00296189" w:rsidP="00296189">
            <w:pPr>
              <w:rPr>
                <w:rFonts w:cs="Times New Roman"/>
              </w:rPr>
            </w:pPr>
            <w:r>
              <w:rPr>
                <w:rFonts w:cs="Times New Roman"/>
              </w:rPr>
              <w:t>James A. Hemm House</w:t>
            </w:r>
          </w:p>
        </w:tc>
        <w:tc>
          <w:tcPr>
            <w:tcW w:w="2549" w:type="dxa"/>
          </w:tcPr>
          <w:p w14:paraId="11FD32EE" w14:textId="77777777" w:rsidR="00296189" w:rsidRDefault="00296189" w:rsidP="00296189">
            <w:pPr>
              <w:jc w:val="center"/>
              <w:rPr>
                <w:rFonts w:cs="Times New Roman"/>
              </w:rPr>
            </w:pPr>
            <w:r>
              <w:rPr>
                <w:rFonts w:cs="Times New Roman"/>
              </w:rPr>
              <w:t>0</w:t>
            </w:r>
          </w:p>
        </w:tc>
        <w:tc>
          <w:tcPr>
            <w:tcW w:w="1980" w:type="dxa"/>
          </w:tcPr>
          <w:p w14:paraId="39978E3B" w14:textId="77777777" w:rsidR="00296189" w:rsidRPr="00510560" w:rsidRDefault="00296189" w:rsidP="00296189">
            <w:pPr>
              <w:jc w:val="center"/>
              <w:rPr>
                <w:rFonts w:cs="Times New Roman"/>
              </w:rPr>
            </w:pPr>
            <w:r>
              <w:rPr>
                <w:rFonts w:cs="Times New Roman"/>
              </w:rPr>
              <w:t>0</w:t>
            </w:r>
          </w:p>
        </w:tc>
      </w:tr>
      <w:tr w:rsidR="00296189" w14:paraId="0D270256" w14:textId="77777777" w:rsidTr="003106E1">
        <w:trPr>
          <w:jc w:val="center"/>
        </w:trPr>
        <w:tc>
          <w:tcPr>
            <w:tcW w:w="3116" w:type="dxa"/>
          </w:tcPr>
          <w:p w14:paraId="38553721" w14:textId="77777777" w:rsidR="00296189" w:rsidRPr="00510560" w:rsidRDefault="00296189" w:rsidP="00296189">
            <w:pPr>
              <w:rPr>
                <w:rFonts w:cs="Times New Roman"/>
              </w:rPr>
            </w:pPr>
            <w:r w:rsidRPr="00510560">
              <w:rPr>
                <w:rFonts w:cs="Times New Roman"/>
              </w:rPr>
              <w:t>Total</w:t>
            </w:r>
          </w:p>
        </w:tc>
        <w:tc>
          <w:tcPr>
            <w:tcW w:w="2549" w:type="dxa"/>
          </w:tcPr>
          <w:p w14:paraId="3830B452" w14:textId="77777777" w:rsidR="00296189" w:rsidRPr="00510560" w:rsidRDefault="00296189" w:rsidP="00296189">
            <w:pPr>
              <w:jc w:val="center"/>
              <w:rPr>
                <w:rFonts w:cs="Times New Roman"/>
              </w:rPr>
            </w:pPr>
            <w:r>
              <w:rPr>
                <w:rFonts w:cs="Times New Roman"/>
              </w:rPr>
              <w:t>0</w:t>
            </w:r>
          </w:p>
        </w:tc>
        <w:tc>
          <w:tcPr>
            <w:tcW w:w="1980" w:type="dxa"/>
          </w:tcPr>
          <w:p w14:paraId="3F8284A2" w14:textId="77777777" w:rsidR="00296189" w:rsidRPr="00510560" w:rsidRDefault="00296189" w:rsidP="00296189">
            <w:pPr>
              <w:jc w:val="center"/>
              <w:rPr>
                <w:rFonts w:cs="Times New Roman"/>
              </w:rPr>
            </w:pPr>
            <w:r w:rsidRPr="00510560">
              <w:rPr>
                <w:rFonts w:cs="Times New Roman"/>
              </w:rPr>
              <w:t>0</w:t>
            </w:r>
          </w:p>
        </w:tc>
      </w:tr>
    </w:tbl>
    <w:p w14:paraId="2C915BA9" w14:textId="77777777" w:rsidR="00296189" w:rsidRDefault="00296189" w:rsidP="00885CF0">
      <w:pPr>
        <w:jc w:val="center"/>
        <w:rPr>
          <w:rFonts w:ascii="Times New Roman" w:hAnsi="Times New Roman" w:cs="Times New Roman"/>
          <w:b/>
          <w:sz w:val="26"/>
          <w:szCs w:val="26"/>
          <w:u w:val="single" w:color="2E74B5" w:themeColor="accent1" w:themeShade="BF"/>
        </w:rPr>
      </w:pPr>
    </w:p>
    <w:p w14:paraId="5F7621A2" w14:textId="77777777" w:rsidR="00510560" w:rsidRDefault="00885CF0" w:rsidP="00885CF0">
      <w:pPr>
        <w:jc w:val="center"/>
        <w:rPr>
          <w:rFonts w:ascii="Times New Roman" w:hAnsi="Times New Roman" w:cs="Times New Roman"/>
          <w:b/>
          <w:sz w:val="26"/>
          <w:szCs w:val="26"/>
          <w:u w:val="single" w:color="2E74B5" w:themeColor="accent1" w:themeShade="BF"/>
        </w:rPr>
      </w:pPr>
      <w:r w:rsidRPr="00885CF0">
        <w:rPr>
          <w:rFonts w:ascii="Times New Roman" w:hAnsi="Times New Roman" w:cs="Times New Roman"/>
          <w:b/>
          <w:sz w:val="26"/>
          <w:szCs w:val="26"/>
          <w:u w:val="single" w:color="2E74B5" w:themeColor="accent1" w:themeShade="BF"/>
        </w:rPr>
        <w:lastRenderedPageBreak/>
        <w:t>Resident-on-Resident Sexual Abuse</w:t>
      </w:r>
    </w:p>
    <w:p w14:paraId="51F52961" w14:textId="30D80B58" w:rsidR="00885CF0" w:rsidRPr="00885CF0" w:rsidRDefault="00885CF0" w:rsidP="00885CF0">
      <w:pPr>
        <w:jc w:val="center"/>
        <w:rPr>
          <w:rFonts w:ascii="Times New Roman" w:hAnsi="Times New Roman" w:cs="Times New Roman"/>
          <w:b/>
          <w:sz w:val="26"/>
          <w:szCs w:val="26"/>
          <w:u w:val="single" w:color="2E74B5" w:themeColor="accent1" w:themeShade="BF"/>
        </w:rPr>
      </w:pPr>
      <w:r>
        <w:t xml:space="preserve">January 1, </w:t>
      </w:r>
      <w:proofErr w:type="gramStart"/>
      <w:r>
        <w:t>20</w:t>
      </w:r>
      <w:r w:rsidR="00296189">
        <w:t>2</w:t>
      </w:r>
      <w:r w:rsidR="003905E0">
        <w:t>3</w:t>
      </w:r>
      <w:proofErr w:type="gramEnd"/>
      <w:r>
        <w:t xml:space="preserve"> through December 31, 20</w:t>
      </w:r>
      <w:r w:rsidR="00296189">
        <w:t>2</w:t>
      </w:r>
      <w:r w:rsidR="003905E0">
        <w:t>3</w:t>
      </w:r>
    </w:p>
    <w:tbl>
      <w:tblPr>
        <w:tblStyle w:val="TableGrid"/>
        <w:tblW w:w="0" w:type="auto"/>
        <w:jc w:val="center"/>
        <w:tblLook w:val="04A0" w:firstRow="1" w:lastRow="0" w:firstColumn="1" w:lastColumn="0" w:noHBand="0" w:noVBand="1"/>
      </w:tblPr>
      <w:tblGrid>
        <w:gridCol w:w="2425"/>
        <w:gridCol w:w="1630"/>
        <w:gridCol w:w="1928"/>
        <w:gridCol w:w="1421"/>
        <w:gridCol w:w="1580"/>
      </w:tblGrid>
      <w:tr w:rsidR="00510560" w14:paraId="4E7CD6A0" w14:textId="77777777" w:rsidTr="00F76910">
        <w:trPr>
          <w:jc w:val="center"/>
        </w:trPr>
        <w:tc>
          <w:tcPr>
            <w:tcW w:w="2425" w:type="dxa"/>
          </w:tcPr>
          <w:p w14:paraId="45414CCC" w14:textId="77777777" w:rsidR="00510560" w:rsidRPr="00885CF0" w:rsidRDefault="00510560" w:rsidP="00885CF0">
            <w:pPr>
              <w:jc w:val="center"/>
              <w:rPr>
                <w:rFonts w:ascii="Times New Roman" w:hAnsi="Times New Roman" w:cs="Times New Roman"/>
                <w:b/>
                <w:color w:val="0070C0"/>
                <w:sz w:val="24"/>
                <w:szCs w:val="26"/>
              </w:rPr>
            </w:pPr>
            <w:r w:rsidRPr="00885CF0">
              <w:rPr>
                <w:rFonts w:ascii="Times New Roman" w:hAnsi="Times New Roman" w:cs="Times New Roman"/>
                <w:b/>
                <w:color w:val="0070C0"/>
                <w:sz w:val="24"/>
                <w:szCs w:val="26"/>
              </w:rPr>
              <w:t>Program</w:t>
            </w:r>
          </w:p>
        </w:tc>
        <w:tc>
          <w:tcPr>
            <w:tcW w:w="1630" w:type="dxa"/>
          </w:tcPr>
          <w:p w14:paraId="752C10C9" w14:textId="77777777" w:rsidR="00510560" w:rsidRPr="00885CF0" w:rsidRDefault="00510560" w:rsidP="00885CF0">
            <w:pPr>
              <w:jc w:val="center"/>
              <w:rPr>
                <w:rFonts w:ascii="Times New Roman" w:hAnsi="Times New Roman" w:cs="Times New Roman"/>
                <w:b/>
                <w:color w:val="0070C0"/>
                <w:sz w:val="24"/>
                <w:szCs w:val="26"/>
              </w:rPr>
            </w:pPr>
            <w:r w:rsidRPr="00885CF0">
              <w:rPr>
                <w:rFonts w:ascii="Times New Roman" w:hAnsi="Times New Roman" w:cs="Times New Roman"/>
                <w:b/>
                <w:color w:val="0070C0"/>
                <w:sz w:val="24"/>
                <w:szCs w:val="26"/>
              </w:rPr>
              <w:t>Substantiated</w:t>
            </w:r>
          </w:p>
        </w:tc>
        <w:tc>
          <w:tcPr>
            <w:tcW w:w="1928" w:type="dxa"/>
          </w:tcPr>
          <w:p w14:paraId="368CF7B1" w14:textId="77777777" w:rsidR="00510560" w:rsidRPr="00885CF0" w:rsidRDefault="00510560" w:rsidP="00885CF0">
            <w:pPr>
              <w:jc w:val="center"/>
              <w:rPr>
                <w:rFonts w:ascii="Times New Roman" w:hAnsi="Times New Roman" w:cs="Times New Roman"/>
                <w:b/>
                <w:color w:val="0070C0"/>
                <w:sz w:val="24"/>
                <w:szCs w:val="26"/>
              </w:rPr>
            </w:pPr>
            <w:r w:rsidRPr="00885CF0">
              <w:rPr>
                <w:rFonts w:ascii="Times New Roman" w:hAnsi="Times New Roman" w:cs="Times New Roman"/>
                <w:b/>
                <w:color w:val="0070C0"/>
                <w:sz w:val="24"/>
                <w:szCs w:val="26"/>
              </w:rPr>
              <w:t>Unsubstantiated</w:t>
            </w:r>
          </w:p>
        </w:tc>
        <w:tc>
          <w:tcPr>
            <w:tcW w:w="1421" w:type="dxa"/>
          </w:tcPr>
          <w:p w14:paraId="590700C4" w14:textId="77777777" w:rsidR="00510560" w:rsidRPr="00885CF0" w:rsidRDefault="00510560" w:rsidP="00885CF0">
            <w:pPr>
              <w:jc w:val="center"/>
              <w:rPr>
                <w:rFonts w:ascii="Times New Roman" w:hAnsi="Times New Roman" w:cs="Times New Roman"/>
                <w:b/>
                <w:color w:val="0070C0"/>
                <w:sz w:val="24"/>
                <w:szCs w:val="26"/>
              </w:rPr>
            </w:pPr>
            <w:r w:rsidRPr="00885CF0">
              <w:rPr>
                <w:rFonts w:ascii="Times New Roman" w:hAnsi="Times New Roman" w:cs="Times New Roman"/>
                <w:b/>
                <w:color w:val="0070C0"/>
                <w:sz w:val="24"/>
                <w:szCs w:val="26"/>
              </w:rPr>
              <w:t>Unfounded</w:t>
            </w:r>
          </w:p>
        </w:tc>
        <w:tc>
          <w:tcPr>
            <w:tcW w:w="1580" w:type="dxa"/>
          </w:tcPr>
          <w:p w14:paraId="7CB53345" w14:textId="77777777" w:rsidR="00510560" w:rsidRPr="00885CF0" w:rsidRDefault="00510560" w:rsidP="00885CF0">
            <w:pPr>
              <w:jc w:val="center"/>
              <w:rPr>
                <w:rFonts w:ascii="Times New Roman" w:hAnsi="Times New Roman" w:cs="Times New Roman"/>
                <w:b/>
                <w:color w:val="0070C0"/>
                <w:sz w:val="24"/>
                <w:szCs w:val="26"/>
              </w:rPr>
            </w:pPr>
            <w:r w:rsidRPr="00885CF0">
              <w:rPr>
                <w:rFonts w:ascii="Times New Roman" w:hAnsi="Times New Roman" w:cs="Times New Roman"/>
                <w:b/>
                <w:color w:val="0070C0"/>
                <w:sz w:val="24"/>
                <w:szCs w:val="26"/>
              </w:rPr>
              <w:t>On-Going Investigation</w:t>
            </w:r>
          </w:p>
        </w:tc>
      </w:tr>
      <w:tr w:rsidR="00885CF0" w14:paraId="7E9D3FE0" w14:textId="77777777" w:rsidTr="00F76910">
        <w:trPr>
          <w:jc w:val="center"/>
        </w:trPr>
        <w:tc>
          <w:tcPr>
            <w:tcW w:w="2425" w:type="dxa"/>
          </w:tcPr>
          <w:p w14:paraId="26429C02" w14:textId="77777777" w:rsidR="00885CF0" w:rsidRPr="00296189" w:rsidRDefault="00885CF0" w:rsidP="00885CF0">
            <w:pPr>
              <w:rPr>
                <w:rFonts w:cs="Times New Roman"/>
                <w:sz w:val="20"/>
              </w:rPr>
            </w:pPr>
            <w:r w:rsidRPr="00296189">
              <w:rPr>
                <w:rFonts w:cs="Times New Roman"/>
                <w:sz w:val="20"/>
              </w:rPr>
              <w:t>Clinton House</w:t>
            </w:r>
          </w:p>
        </w:tc>
        <w:tc>
          <w:tcPr>
            <w:tcW w:w="1630" w:type="dxa"/>
          </w:tcPr>
          <w:p w14:paraId="6467B112" w14:textId="77777777" w:rsidR="00885CF0" w:rsidRPr="00296189" w:rsidRDefault="00885CF0" w:rsidP="00885CF0">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928" w:type="dxa"/>
          </w:tcPr>
          <w:p w14:paraId="7900F027" w14:textId="77777777" w:rsidR="00885CF0" w:rsidRPr="00296189" w:rsidRDefault="00885CF0" w:rsidP="00885CF0">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421" w:type="dxa"/>
          </w:tcPr>
          <w:p w14:paraId="340A0899" w14:textId="77777777" w:rsidR="00885CF0" w:rsidRPr="00296189" w:rsidRDefault="00885CF0" w:rsidP="00885CF0">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580" w:type="dxa"/>
          </w:tcPr>
          <w:p w14:paraId="7FF895F1" w14:textId="77777777" w:rsidR="00885CF0" w:rsidRPr="00296189" w:rsidRDefault="00885CF0" w:rsidP="00885CF0">
            <w:pPr>
              <w:jc w:val="center"/>
              <w:rPr>
                <w:rFonts w:ascii="Times New Roman" w:hAnsi="Times New Roman" w:cs="Times New Roman"/>
                <w:sz w:val="20"/>
                <w:szCs w:val="26"/>
              </w:rPr>
            </w:pPr>
            <w:r w:rsidRPr="00296189">
              <w:rPr>
                <w:rFonts w:ascii="Times New Roman" w:hAnsi="Times New Roman" w:cs="Times New Roman"/>
                <w:sz w:val="20"/>
                <w:szCs w:val="26"/>
              </w:rPr>
              <w:t>0</w:t>
            </w:r>
          </w:p>
        </w:tc>
      </w:tr>
      <w:tr w:rsidR="00885CF0" w14:paraId="0366A89D" w14:textId="77777777" w:rsidTr="00F76910">
        <w:trPr>
          <w:jc w:val="center"/>
        </w:trPr>
        <w:tc>
          <w:tcPr>
            <w:tcW w:w="2425" w:type="dxa"/>
          </w:tcPr>
          <w:p w14:paraId="71A861FE" w14:textId="77777777" w:rsidR="00885CF0" w:rsidRPr="00296189" w:rsidRDefault="00885CF0" w:rsidP="00885CF0">
            <w:pPr>
              <w:rPr>
                <w:rFonts w:cs="Times New Roman"/>
                <w:sz w:val="20"/>
              </w:rPr>
            </w:pPr>
            <w:r w:rsidRPr="00296189">
              <w:rPr>
                <w:rFonts w:cs="Times New Roman"/>
                <w:sz w:val="20"/>
              </w:rPr>
              <w:t>Millicent Fenwick House</w:t>
            </w:r>
          </w:p>
        </w:tc>
        <w:tc>
          <w:tcPr>
            <w:tcW w:w="1630" w:type="dxa"/>
          </w:tcPr>
          <w:p w14:paraId="63C44395" w14:textId="77777777" w:rsidR="00885CF0" w:rsidRPr="00296189" w:rsidRDefault="00885CF0" w:rsidP="00885CF0">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928" w:type="dxa"/>
          </w:tcPr>
          <w:p w14:paraId="7B61A423" w14:textId="77777777" w:rsidR="00885CF0" w:rsidRPr="00296189" w:rsidRDefault="00885CF0" w:rsidP="00885CF0">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421" w:type="dxa"/>
          </w:tcPr>
          <w:p w14:paraId="6BE2B9F7" w14:textId="77777777" w:rsidR="00885CF0" w:rsidRPr="00296189" w:rsidRDefault="00885CF0" w:rsidP="00885CF0">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580" w:type="dxa"/>
          </w:tcPr>
          <w:p w14:paraId="74051E41" w14:textId="77777777" w:rsidR="00885CF0" w:rsidRPr="00296189" w:rsidRDefault="00885CF0" w:rsidP="00885CF0">
            <w:pPr>
              <w:jc w:val="center"/>
              <w:rPr>
                <w:rFonts w:ascii="Times New Roman" w:hAnsi="Times New Roman" w:cs="Times New Roman"/>
                <w:sz w:val="20"/>
                <w:szCs w:val="26"/>
              </w:rPr>
            </w:pPr>
            <w:r w:rsidRPr="00296189">
              <w:rPr>
                <w:rFonts w:ascii="Times New Roman" w:hAnsi="Times New Roman" w:cs="Times New Roman"/>
                <w:sz w:val="20"/>
                <w:szCs w:val="26"/>
              </w:rPr>
              <w:t>0</w:t>
            </w:r>
          </w:p>
        </w:tc>
      </w:tr>
      <w:tr w:rsidR="00296189" w14:paraId="1B1E2473" w14:textId="77777777" w:rsidTr="00F76910">
        <w:trPr>
          <w:jc w:val="center"/>
        </w:trPr>
        <w:tc>
          <w:tcPr>
            <w:tcW w:w="2425" w:type="dxa"/>
          </w:tcPr>
          <w:p w14:paraId="145F5266" w14:textId="77777777" w:rsidR="00296189" w:rsidRPr="00296189" w:rsidRDefault="00296189" w:rsidP="00296189">
            <w:pPr>
              <w:rPr>
                <w:rFonts w:cs="Times New Roman"/>
                <w:sz w:val="20"/>
              </w:rPr>
            </w:pPr>
            <w:r w:rsidRPr="00296189">
              <w:rPr>
                <w:rFonts w:cs="Times New Roman"/>
                <w:sz w:val="20"/>
              </w:rPr>
              <w:t>James A. Hemm House</w:t>
            </w:r>
          </w:p>
        </w:tc>
        <w:tc>
          <w:tcPr>
            <w:tcW w:w="1630" w:type="dxa"/>
          </w:tcPr>
          <w:p w14:paraId="27E8D1D9" w14:textId="77777777" w:rsidR="00296189" w:rsidRPr="00296189" w:rsidRDefault="00296189" w:rsidP="00296189">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928" w:type="dxa"/>
          </w:tcPr>
          <w:p w14:paraId="29C72D8D" w14:textId="77777777" w:rsidR="00296189" w:rsidRPr="00296189" w:rsidRDefault="00296189" w:rsidP="00296189">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421" w:type="dxa"/>
          </w:tcPr>
          <w:p w14:paraId="592B4B25" w14:textId="77777777" w:rsidR="00296189" w:rsidRPr="00296189" w:rsidRDefault="00296189" w:rsidP="00296189">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580" w:type="dxa"/>
          </w:tcPr>
          <w:p w14:paraId="6CEEAADF" w14:textId="77777777" w:rsidR="00296189" w:rsidRPr="00296189" w:rsidRDefault="00296189" w:rsidP="00296189">
            <w:pPr>
              <w:jc w:val="center"/>
              <w:rPr>
                <w:rFonts w:ascii="Times New Roman" w:hAnsi="Times New Roman" w:cs="Times New Roman"/>
                <w:sz w:val="20"/>
                <w:szCs w:val="26"/>
              </w:rPr>
            </w:pPr>
            <w:r w:rsidRPr="00296189">
              <w:rPr>
                <w:rFonts w:ascii="Times New Roman" w:hAnsi="Times New Roman" w:cs="Times New Roman"/>
                <w:sz w:val="20"/>
                <w:szCs w:val="26"/>
              </w:rPr>
              <w:t>0</w:t>
            </w:r>
          </w:p>
        </w:tc>
      </w:tr>
      <w:tr w:rsidR="00296189" w14:paraId="7EFE76C3" w14:textId="77777777" w:rsidTr="00F76910">
        <w:trPr>
          <w:jc w:val="center"/>
        </w:trPr>
        <w:tc>
          <w:tcPr>
            <w:tcW w:w="2425" w:type="dxa"/>
          </w:tcPr>
          <w:p w14:paraId="6E6917EE" w14:textId="77777777" w:rsidR="00296189" w:rsidRPr="00296189" w:rsidRDefault="00296189" w:rsidP="00296189">
            <w:pPr>
              <w:rPr>
                <w:rFonts w:cs="Times New Roman"/>
                <w:sz w:val="20"/>
              </w:rPr>
            </w:pPr>
            <w:r w:rsidRPr="00296189">
              <w:rPr>
                <w:rFonts w:cs="Times New Roman"/>
                <w:sz w:val="20"/>
              </w:rPr>
              <w:t>Total</w:t>
            </w:r>
          </w:p>
        </w:tc>
        <w:tc>
          <w:tcPr>
            <w:tcW w:w="1630" w:type="dxa"/>
          </w:tcPr>
          <w:p w14:paraId="50C80297" w14:textId="77777777" w:rsidR="00296189" w:rsidRPr="00296189" w:rsidRDefault="00296189" w:rsidP="00296189">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928" w:type="dxa"/>
          </w:tcPr>
          <w:p w14:paraId="241841E2" w14:textId="77777777" w:rsidR="00296189" w:rsidRPr="00296189" w:rsidRDefault="00296189" w:rsidP="00296189">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421" w:type="dxa"/>
          </w:tcPr>
          <w:p w14:paraId="51A44B93" w14:textId="77777777" w:rsidR="00296189" w:rsidRPr="00296189" w:rsidRDefault="00296189" w:rsidP="00296189">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580" w:type="dxa"/>
          </w:tcPr>
          <w:p w14:paraId="26F42364" w14:textId="77777777" w:rsidR="00296189" w:rsidRPr="00296189" w:rsidRDefault="00296189" w:rsidP="00296189">
            <w:pPr>
              <w:jc w:val="center"/>
              <w:rPr>
                <w:rFonts w:ascii="Times New Roman" w:hAnsi="Times New Roman" w:cs="Times New Roman"/>
                <w:sz w:val="20"/>
                <w:szCs w:val="26"/>
              </w:rPr>
            </w:pPr>
            <w:r w:rsidRPr="00296189">
              <w:rPr>
                <w:rFonts w:ascii="Times New Roman" w:hAnsi="Times New Roman" w:cs="Times New Roman"/>
                <w:sz w:val="20"/>
                <w:szCs w:val="26"/>
              </w:rPr>
              <w:t>0</w:t>
            </w:r>
          </w:p>
        </w:tc>
      </w:tr>
    </w:tbl>
    <w:p w14:paraId="031F02F7" w14:textId="77777777" w:rsidR="00510560" w:rsidRPr="00C82C08" w:rsidRDefault="00510560" w:rsidP="00510560">
      <w:pPr>
        <w:jc w:val="center"/>
        <w:rPr>
          <w:rFonts w:ascii="Times New Roman" w:hAnsi="Times New Roman" w:cs="Times New Roman"/>
          <w:sz w:val="12"/>
          <w:szCs w:val="26"/>
        </w:rPr>
      </w:pPr>
    </w:p>
    <w:p w14:paraId="57C17567" w14:textId="77777777" w:rsidR="00885CF0" w:rsidRDefault="00885CF0" w:rsidP="00885CF0">
      <w:pPr>
        <w:jc w:val="center"/>
        <w:rPr>
          <w:rFonts w:ascii="Times New Roman" w:hAnsi="Times New Roman" w:cs="Times New Roman"/>
          <w:b/>
          <w:sz w:val="26"/>
          <w:szCs w:val="26"/>
          <w:u w:val="single" w:color="2E74B5" w:themeColor="accent1" w:themeShade="BF"/>
        </w:rPr>
      </w:pPr>
      <w:r w:rsidRPr="00885CF0">
        <w:rPr>
          <w:rFonts w:ascii="Times New Roman" w:hAnsi="Times New Roman" w:cs="Times New Roman"/>
          <w:b/>
          <w:sz w:val="26"/>
          <w:szCs w:val="26"/>
          <w:u w:val="single" w:color="2E74B5" w:themeColor="accent1" w:themeShade="BF"/>
        </w:rPr>
        <w:t xml:space="preserve">Resident-on-Resident Sexual </w:t>
      </w:r>
      <w:r>
        <w:rPr>
          <w:rFonts w:ascii="Times New Roman" w:hAnsi="Times New Roman" w:cs="Times New Roman"/>
          <w:b/>
          <w:sz w:val="26"/>
          <w:szCs w:val="26"/>
          <w:u w:val="single" w:color="2E74B5" w:themeColor="accent1" w:themeShade="BF"/>
        </w:rPr>
        <w:t>Harassment</w:t>
      </w:r>
    </w:p>
    <w:p w14:paraId="33C1C8B0" w14:textId="3DB03902" w:rsidR="00296189" w:rsidRPr="00885CF0" w:rsidRDefault="00296189" w:rsidP="00296189">
      <w:pPr>
        <w:jc w:val="center"/>
        <w:rPr>
          <w:rFonts w:ascii="Times New Roman" w:hAnsi="Times New Roman" w:cs="Times New Roman"/>
          <w:b/>
          <w:sz w:val="26"/>
          <w:szCs w:val="26"/>
          <w:u w:val="single" w:color="2E74B5" w:themeColor="accent1" w:themeShade="BF"/>
        </w:rPr>
      </w:pPr>
      <w:r>
        <w:t xml:space="preserve">January 1, </w:t>
      </w:r>
      <w:proofErr w:type="gramStart"/>
      <w:r>
        <w:t>202</w:t>
      </w:r>
      <w:r w:rsidR="003905E0">
        <w:t>3</w:t>
      </w:r>
      <w:proofErr w:type="gramEnd"/>
      <w:r>
        <w:t xml:space="preserve"> through December 31, 202</w:t>
      </w:r>
      <w:r w:rsidR="003905E0">
        <w:t>3</w:t>
      </w:r>
    </w:p>
    <w:tbl>
      <w:tblPr>
        <w:tblStyle w:val="TableGrid"/>
        <w:tblW w:w="0" w:type="auto"/>
        <w:jc w:val="center"/>
        <w:tblLook w:val="04A0" w:firstRow="1" w:lastRow="0" w:firstColumn="1" w:lastColumn="0" w:noHBand="0" w:noVBand="1"/>
      </w:tblPr>
      <w:tblGrid>
        <w:gridCol w:w="2425"/>
        <w:gridCol w:w="1630"/>
        <w:gridCol w:w="1928"/>
        <w:gridCol w:w="1421"/>
        <w:gridCol w:w="1580"/>
      </w:tblGrid>
      <w:tr w:rsidR="00296189" w14:paraId="144DE1BA" w14:textId="77777777" w:rsidTr="00010BDD">
        <w:trPr>
          <w:jc w:val="center"/>
        </w:trPr>
        <w:tc>
          <w:tcPr>
            <w:tcW w:w="2425" w:type="dxa"/>
          </w:tcPr>
          <w:p w14:paraId="2C3CD15E" w14:textId="77777777" w:rsidR="00296189" w:rsidRPr="00885CF0" w:rsidRDefault="00296189" w:rsidP="00010BDD">
            <w:pPr>
              <w:jc w:val="center"/>
              <w:rPr>
                <w:rFonts w:ascii="Times New Roman" w:hAnsi="Times New Roman" w:cs="Times New Roman"/>
                <w:b/>
                <w:color w:val="0070C0"/>
                <w:sz w:val="24"/>
                <w:szCs w:val="26"/>
              </w:rPr>
            </w:pPr>
            <w:r w:rsidRPr="00885CF0">
              <w:rPr>
                <w:rFonts w:ascii="Times New Roman" w:hAnsi="Times New Roman" w:cs="Times New Roman"/>
                <w:b/>
                <w:color w:val="0070C0"/>
                <w:sz w:val="24"/>
                <w:szCs w:val="26"/>
              </w:rPr>
              <w:t>Program</w:t>
            </w:r>
          </w:p>
        </w:tc>
        <w:tc>
          <w:tcPr>
            <w:tcW w:w="1630" w:type="dxa"/>
          </w:tcPr>
          <w:p w14:paraId="3438DD4A" w14:textId="77777777" w:rsidR="00296189" w:rsidRPr="00885CF0" w:rsidRDefault="00296189" w:rsidP="00010BDD">
            <w:pPr>
              <w:jc w:val="center"/>
              <w:rPr>
                <w:rFonts w:ascii="Times New Roman" w:hAnsi="Times New Roman" w:cs="Times New Roman"/>
                <w:b/>
                <w:color w:val="0070C0"/>
                <w:sz w:val="24"/>
                <w:szCs w:val="26"/>
              </w:rPr>
            </w:pPr>
            <w:r w:rsidRPr="00885CF0">
              <w:rPr>
                <w:rFonts w:ascii="Times New Roman" w:hAnsi="Times New Roman" w:cs="Times New Roman"/>
                <w:b/>
                <w:color w:val="0070C0"/>
                <w:sz w:val="24"/>
                <w:szCs w:val="26"/>
              </w:rPr>
              <w:t>Substantiated</w:t>
            </w:r>
          </w:p>
        </w:tc>
        <w:tc>
          <w:tcPr>
            <w:tcW w:w="1928" w:type="dxa"/>
          </w:tcPr>
          <w:p w14:paraId="048E2712" w14:textId="77777777" w:rsidR="00296189" w:rsidRPr="00885CF0" w:rsidRDefault="00296189" w:rsidP="00010BDD">
            <w:pPr>
              <w:jc w:val="center"/>
              <w:rPr>
                <w:rFonts w:ascii="Times New Roman" w:hAnsi="Times New Roman" w:cs="Times New Roman"/>
                <w:b/>
                <w:color w:val="0070C0"/>
                <w:sz w:val="24"/>
                <w:szCs w:val="26"/>
              </w:rPr>
            </w:pPr>
            <w:r w:rsidRPr="00885CF0">
              <w:rPr>
                <w:rFonts w:ascii="Times New Roman" w:hAnsi="Times New Roman" w:cs="Times New Roman"/>
                <w:b/>
                <w:color w:val="0070C0"/>
                <w:sz w:val="24"/>
                <w:szCs w:val="26"/>
              </w:rPr>
              <w:t>Unsubstantiated</w:t>
            </w:r>
          </w:p>
        </w:tc>
        <w:tc>
          <w:tcPr>
            <w:tcW w:w="1421" w:type="dxa"/>
          </w:tcPr>
          <w:p w14:paraId="5C7D8014" w14:textId="77777777" w:rsidR="00296189" w:rsidRPr="00885CF0" w:rsidRDefault="00296189" w:rsidP="00010BDD">
            <w:pPr>
              <w:jc w:val="center"/>
              <w:rPr>
                <w:rFonts w:ascii="Times New Roman" w:hAnsi="Times New Roman" w:cs="Times New Roman"/>
                <w:b/>
                <w:color w:val="0070C0"/>
                <w:sz w:val="24"/>
                <w:szCs w:val="26"/>
              </w:rPr>
            </w:pPr>
            <w:r w:rsidRPr="00885CF0">
              <w:rPr>
                <w:rFonts w:ascii="Times New Roman" w:hAnsi="Times New Roman" w:cs="Times New Roman"/>
                <w:b/>
                <w:color w:val="0070C0"/>
                <w:sz w:val="24"/>
                <w:szCs w:val="26"/>
              </w:rPr>
              <w:t>Unfounded</w:t>
            </w:r>
          </w:p>
        </w:tc>
        <w:tc>
          <w:tcPr>
            <w:tcW w:w="1580" w:type="dxa"/>
          </w:tcPr>
          <w:p w14:paraId="55A7755A" w14:textId="77777777" w:rsidR="00296189" w:rsidRPr="00885CF0" w:rsidRDefault="00296189" w:rsidP="00010BDD">
            <w:pPr>
              <w:jc w:val="center"/>
              <w:rPr>
                <w:rFonts w:ascii="Times New Roman" w:hAnsi="Times New Roman" w:cs="Times New Roman"/>
                <w:b/>
                <w:color w:val="0070C0"/>
                <w:sz w:val="24"/>
                <w:szCs w:val="26"/>
              </w:rPr>
            </w:pPr>
            <w:r w:rsidRPr="00885CF0">
              <w:rPr>
                <w:rFonts w:ascii="Times New Roman" w:hAnsi="Times New Roman" w:cs="Times New Roman"/>
                <w:b/>
                <w:color w:val="0070C0"/>
                <w:sz w:val="24"/>
                <w:szCs w:val="26"/>
              </w:rPr>
              <w:t>On-Going Investigation</w:t>
            </w:r>
          </w:p>
        </w:tc>
      </w:tr>
      <w:tr w:rsidR="00296189" w14:paraId="6FBF79A1" w14:textId="77777777" w:rsidTr="00010BDD">
        <w:trPr>
          <w:jc w:val="center"/>
        </w:trPr>
        <w:tc>
          <w:tcPr>
            <w:tcW w:w="2425" w:type="dxa"/>
          </w:tcPr>
          <w:p w14:paraId="0AD962DB" w14:textId="77777777" w:rsidR="00296189" w:rsidRPr="00296189" w:rsidRDefault="00296189" w:rsidP="00010BDD">
            <w:pPr>
              <w:rPr>
                <w:rFonts w:cs="Times New Roman"/>
                <w:sz w:val="20"/>
              </w:rPr>
            </w:pPr>
            <w:r w:rsidRPr="00296189">
              <w:rPr>
                <w:rFonts w:cs="Times New Roman"/>
                <w:sz w:val="20"/>
              </w:rPr>
              <w:t>Clinton House</w:t>
            </w:r>
          </w:p>
        </w:tc>
        <w:tc>
          <w:tcPr>
            <w:tcW w:w="1630" w:type="dxa"/>
          </w:tcPr>
          <w:p w14:paraId="50B22D92"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928" w:type="dxa"/>
          </w:tcPr>
          <w:p w14:paraId="5E8B14DA"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421" w:type="dxa"/>
          </w:tcPr>
          <w:p w14:paraId="18ABCEBB"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580" w:type="dxa"/>
          </w:tcPr>
          <w:p w14:paraId="1226A61E"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r>
      <w:tr w:rsidR="00296189" w14:paraId="1A6903B9" w14:textId="77777777" w:rsidTr="00010BDD">
        <w:trPr>
          <w:jc w:val="center"/>
        </w:trPr>
        <w:tc>
          <w:tcPr>
            <w:tcW w:w="2425" w:type="dxa"/>
          </w:tcPr>
          <w:p w14:paraId="1FAA0030" w14:textId="77777777" w:rsidR="00296189" w:rsidRPr="00296189" w:rsidRDefault="00296189" w:rsidP="00010BDD">
            <w:pPr>
              <w:rPr>
                <w:rFonts w:cs="Times New Roman"/>
                <w:sz w:val="20"/>
              </w:rPr>
            </w:pPr>
            <w:r w:rsidRPr="00296189">
              <w:rPr>
                <w:rFonts w:cs="Times New Roman"/>
                <w:sz w:val="20"/>
              </w:rPr>
              <w:t>Millicent Fenwick House</w:t>
            </w:r>
          </w:p>
        </w:tc>
        <w:tc>
          <w:tcPr>
            <w:tcW w:w="1630" w:type="dxa"/>
          </w:tcPr>
          <w:p w14:paraId="57D5FE17"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928" w:type="dxa"/>
          </w:tcPr>
          <w:p w14:paraId="47818B3A"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421" w:type="dxa"/>
          </w:tcPr>
          <w:p w14:paraId="4FC705DD"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580" w:type="dxa"/>
          </w:tcPr>
          <w:p w14:paraId="2138C84D"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r>
      <w:tr w:rsidR="00296189" w14:paraId="0FFD1EE1" w14:textId="77777777" w:rsidTr="00010BDD">
        <w:trPr>
          <w:jc w:val="center"/>
        </w:trPr>
        <w:tc>
          <w:tcPr>
            <w:tcW w:w="2425" w:type="dxa"/>
          </w:tcPr>
          <w:p w14:paraId="49C08A34" w14:textId="77777777" w:rsidR="00296189" w:rsidRPr="00296189" w:rsidRDefault="00296189" w:rsidP="00010BDD">
            <w:pPr>
              <w:rPr>
                <w:rFonts w:cs="Times New Roman"/>
                <w:sz w:val="20"/>
              </w:rPr>
            </w:pPr>
            <w:r w:rsidRPr="00296189">
              <w:rPr>
                <w:rFonts w:cs="Times New Roman"/>
                <w:sz w:val="20"/>
              </w:rPr>
              <w:t>James A. Hemm House</w:t>
            </w:r>
          </w:p>
        </w:tc>
        <w:tc>
          <w:tcPr>
            <w:tcW w:w="1630" w:type="dxa"/>
          </w:tcPr>
          <w:p w14:paraId="7A82B6FE"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928" w:type="dxa"/>
          </w:tcPr>
          <w:p w14:paraId="03B320C5"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421" w:type="dxa"/>
          </w:tcPr>
          <w:p w14:paraId="09FCC7AA"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580" w:type="dxa"/>
          </w:tcPr>
          <w:p w14:paraId="41846AAC"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r>
      <w:tr w:rsidR="00296189" w14:paraId="46255B31" w14:textId="77777777" w:rsidTr="00010BDD">
        <w:trPr>
          <w:jc w:val="center"/>
        </w:trPr>
        <w:tc>
          <w:tcPr>
            <w:tcW w:w="2425" w:type="dxa"/>
          </w:tcPr>
          <w:p w14:paraId="7C9661C5" w14:textId="77777777" w:rsidR="00296189" w:rsidRPr="00296189" w:rsidRDefault="00296189" w:rsidP="00010BDD">
            <w:pPr>
              <w:rPr>
                <w:rFonts w:cs="Times New Roman"/>
                <w:sz w:val="20"/>
              </w:rPr>
            </w:pPr>
            <w:r w:rsidRPr="00296189">
              <w:rPr>
                <w:rFonts w:cs="Times New Roman"/>
                <w:sz w:val="20"/>
              </w:rPr>
              <w:t>Total</w:t>
            </w:r>
          </w:p>
        </w:tc>
        <w:tc>
          <w:tcPr>
            <w:tcW w:w="1630" w:type="dxa"/>
          </w:tcPr>
          <w:p w14:paraId="3031C013"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928" w:type="dxa"/>
          </w:tcPr>
          <w:p w14:paraId="7FA255F7"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421" w:type="dxa"/>
          </w:tcPr>
          <w:p w14:paraId="11C8E65C"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580" w:type="dxa"/>
          </w:tcPr>
          <w:p w14:paraId="633A1430"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r>
    </w:tbl>
    <w:p w14:paraId="222833E7" w14:textId="77777777" w:rsidR="00885CF0" w:rsidRPr="00C82C08" w:rsidRDefault="00885CF0" w:rsidP="00510560">
      <w:pPr>
        <w:jc w:val="center"/>
        <w:rPr>
          <w:rFonts w:ascii="Times New Roman" w:hAnsi="Times New Roman" w:cs="Times New Roman"/>
          <w:sz w:val="12"/>
          <w:szCs w:val="26"/>
        </w:rPr>
      </w:pPr>
    </w:p>
    <w:p w14:paraId="7B5BFB3B" w14:textId="77777777" w:rsidR="00885CF0" w:rsidRDefault="00885CF0" w:rsidP="00885CF0">
      <w:pPr>
        <w:jc w:val="center"/>
        <w:rPr>
          <w:rFonts w:ascii="Times New Roman" w:hAnsi="Times New Roman" w:cs="Times New Roman"/>
          <w:b/>
          <w:sz w:val="26"/>
          <w:szCs w:val="26"/>
          <w:u w:val="single" w:color="2E74B5" w:themeColor="accent1" w:themeShade="BF"/>
        </w:rPr>
      </w:pPr>
      <w:r>
        <w:rPr>
          <w:rFonts w:ascii="Times New Roman" w:hAnsi="Times New Roman" w:cs="Times New Roman"/>
          <w:b/>
          <w:sz w:val="26"/>
          <w:szCs w:val="26"/>
          <w:u w:val="single" w:color="2E74B5" w:themeColor="accent1" w:themeShade="BF"/>
        </w:rPr>
        <w:t>Staff</w:t>
      </w:r>
      <w:r w:rsidRPr="00885CF0">
        <w:rPr>
          <w:rFonts w:ascii="Times New Roman" w:hAnsi="Times New Roman" w:cs="Times New Roman"/>
          <w:b/>
          <w:sz w:val="26"/>
          <w:szCs w:val="26"/>
          <w:u w:val="single" w:color="2E74B5" w:themeColor="accent1" w:themeShade="BF"/>
        </w:rPr>
        <w:t>-on-Resident Sexual Abuse</w:t>
      </w:r>
    </w:p>
    <w:p w14:paraId="12C2103B" w14:textId="3B5B0FE7" w:rsidR="00296189" w:rsidRPr="00885CF0" w:rsidRDefault="00296189" w:rsidP="00296189">
      <w:pPr>
        <w:jc w:val="center"/>
        <w:rPr>
          <w:rFonts w:ascii="Times New Roman" w:hAnsi="Times New Roman" w:cs="Times New Roman"/>
          <w:b/>
          <w:sz w:val="26"/>
          <w:szCs w:val="26"/>
          <w:u w:val="single" w:color="2E74B5" w:themeColor="accent1" w:themeShade="BF"/>
        </w:rPr>
      </w:pPr>
      <w:r>
        <w:t xml:space="preserve">January 1, </w:t>
      </w:r>
      <w:proofErr w:type="gramStart"/>
      <w:r>
        <w:t>202</w:t>
      </w:r>
      <w:r w:rsidR="003905E0">
        <w:t>3</w:t>
      </w:r>
      <w:proofErr w:type="gramEnd"/>
      <w:r>
        <w:t xml:space="preserve"> through December 31, 202</w:t>
      </w:r>
      <w:r w:rsidR="003905E0">
        <w:t>3</w:t>
      </w:r>
    </w:p>
    <w:tbl>
      <w:tblPr>
        <w:tblStyle w:val="TableGrid"/>
        <w:tblW w:w="0" w:type="auto"/>
        <w:jc w:val="center"/>
        <w:tblLook w:val="04A0" w:firstRow="1" w:lastRow="0" w:firstColumn="1" w:lastColumn="0" w:noHBand="0" w:noVBand="1"/>
      </w:tblPr>
      <w:tblGrid>
        <w:gridCol w:w="2425"/>
        <w:gridCol w:w="1630"/>
        <w:gridCol w:w="1928"/>
        <w:gridCol w:w="1421"/>
        <w:gridCol w:w="1580"/>
      </w:tblGrid>
      <w:tr w:rsidR="00296189" w14:paraId="4F9F74D7" w14:textId="77777777" w:rsidTr="00010BDD">
        <w:trPr>
          <w:jc w:val="center"/>
        </w:trPr>
        <w:tc>
          <w:tcPr>
            <w:tcW w:w="2425" w:type="dxa"/>
          </w:tcPr>
          <w:p w14:paraId="39F55C69" w14:textId="77777777" w:rsidR="00296189" w:rsidRPr="00885CF0" w:rsidRDefault="00296189" w:rsidP="00010BDD">
            <w:pPr>
              <w:jc w:val="center"/>
              <w:rPr>
                <w:rFonts w:ascii="Times New Roman" w:hAnsi="Times New Roman" w:cs="Times New Roman"/>
                <w:b/>
                <w:color w:val="0070C0"/>
                <w:sz w:val="24"/>
                <w:szCs w:val="26"/>
              </w:rPr>
            </w:pPr>
            <w:r w:rsidRPr="00885CF0">
              <w:rPr>
                <w:rFonts w:ascii="Times New Roman" w:hAnsi="Times New Roman" w:cs="Times New Roman"/>
                <w:b/>
                <w:color w:val="0070C0"/>
                <w:sz w:val="24"/>
                <w:szCs w:val="26"/>
              </w:rPr>
              <w:t>Program</w:t>
            </w:r>
          </w:p>
        </w:tc>
        <w:tc>
          <w:tcPr>
            <w:tcW w:w="1630" w:type="dxa"/>
          </w:tcPr>
          <w:p w14:paraId="14E6EBBC" w14:textId="77777777" w:rsidR="00296189" w:rsidRPr="00885CF0" w:rsidRDefault="00296189" w:rsidP="00010BDD">
            <w:pPr>
              <w:jc w:val="center"/>
              <w:rPr>
                <w:rFonts w:ascii="Times New Roman" w:hAnsi="Times New Roman" w:cs="Times New Roman"/>
                <w:b/>
                <w:color w:val="0070C0"/>
                <w:sz w:val="24"/>
                <w:szCs w:val="26"/>
              </w:rPr>
            </w:pPr>
            <w:r w:rsidRPr="00885CF0">
              <w:rPr>
                <w:rFonts w:ascii="Times New Roman" w:hAnsi="Times New Roman" w:cs="Times New Roman"/>
                <w:b/>
                <w:color w:val="0070C0"/>
                <w:sz w:val="24"/>
                <w:szCs w:val="26"/>
              </w:rPr>
              <w:t>Substantiated</w:t>
            </w:r>
          </w:p>
        </w:tc>
        <w:tc>
          <w:tcPr>
            <w:tcW w:w="1928" w:type="dxa"/>
          </w:tcPr>
          <w:p w14:paraId="79EE38A0" w14:textId="77777777" w:rsidR="00296189" w:rsidRPr="00885CF0" w:rsidRDefault="00296189" w:rsidP="00010BDD">
            <w:pPr>
              <w:jc w:val="center"/>
              <w:rPr>
                <w:rFonts w:ascii="Times New Roman" w:hAnsi="Times New Roman" w:cs="Times New Roman"/>
                <w:b/>
                <w:color w:val="0070C0"/>
                <w:sz w:val="24"/>
                <w:szCs w:val="26"/>
              </w:rPr>
            </w:pPr>
            <w:r w:rsidRPr="00885CF0">
              <w:rPr>
                <w:rFonts w:ascii="Times New Roman" w:hAnsi="Times New Roman" w:cs="Times New Roman"/>
                <w:b/>
                <w:color w:val="0070C0"/>
                <w:sz w:val="24"/>
                <w:szCs w:val="26"/>
              </w:rPr>
              <w:t>Unsubstantiated</w:t>
            </w:r>
          </w:p>
        </w:tc>
        <w:tc>
          <w:tcPr>
            <w:tcW w:w="1421" w:type="dxa"/>
          </w:tcPr>
          <w:p w14:paraId="42FF4E35" w14:textId="77777777" w:rsidR="00296189" w:rsidRPr="00885CF0" w:rsidRDefault="00296189" w:rsidP="00010BDD">
            <w:pPr>
              <w:jc w:val="center"/>
              <w:rPr>
                <w:rFonts w:ascii="Times New Roman" w:hAnsi="Times New Roman" w:cs="Times New Roman"/>
                <w:b/>
                <w:color w:val="0070C0"/>
                <w:sz w:val="24"/>
                <w:szCs w:val="26"/>
              </w:rPr>
            </w:pPr>
            <w:r w:rsidRPr="00885CF0">
              <w:rPr>
                <w:rFonts w:ascii="Times New Roman" w:hAnsi="Times New Roman" w:cs="Times New Roman"/>
                <w:b/>
                <w:color w:val="0070C0"/>
                <w:sz w:val="24"/>
                <w:szCs w:val="26"/>
              </w:rPr>
              <w:t>Unfounded</w:t>
            </w:r>
          </w:p>
        </w:tc>
        <w:tc>
          <w:tcPr>
            <w:tcW w:w="1580" w:type="dxa"/>
          </w:tcPr>
          <w:p w14:paraId="5768194D" w14:textId="77777777" w:rsidR="00296189" w:rsidRPr="00885CF0" w:rsidRDefault="00296189" w:rsidP="00010BDD">
            <w:pPr>
              <w:jc w:val="center"/>
              <w:rPr>
                <w:rFonts w:ascii="Times New Roman" w:hAnsi="Times New Roman" w:cs="Times New Roman"/>
                <w:b/>
                <w:color w:val="0070C0"/>
                <w:sz w:val="24"/>
                <w:szCs w:val="26"/>
              </w:rPr>
            </w:pPr>
            <w:r w:rsidRPr="00885CF0">
              <w:rPr>
                <w:rFonts w:ascii="Times New Roman" w:hAnsi="Times New Roman" w:cs="Times New Roman"/>
                <w:b/>
                <w:color w:val="0070C0"/>
                <w:sz w:val="24"/>
                <w:szCs w:val="26"/>
              </w:rPr>
              <w:t>On-Going Investigation</w:t>
            </w:r>
          </w:p>
        </w:tc>
      </w:tr>
      <w:tr w:rsidR="00296189" w14:paraId="7B997669" w14:textId="77777777" w:rsidTr="00010BDD">
        <w:trPr>
          <w:jc w:val="center"/>
        </w:trPr>
        <w:tc>
          <w:tcPr>
            <w:tcW w:w="2425" w:type="dxa"/>
          </w:tcPr>
          <w:p w14:paraId="33523C17" w14:textId="77777777" w:rsidR="00296189" w:rsidRPr="00296189" w:rsidRDefault="00296189" w:rsidP="00010BDD">
            <w:pPr>
              <w:rPr>
                <w:rFonts w:cs="Times New Roman"/>
                <w:sz w:val="20"/>
              </w:rPr>
            </w:pPr>
            <w:r w:rsidRPr="00296189">
              <w:rPr>
                <w:rFonts w:cs="Times New Roman"/>
                <w:sz w:val="20"/>
              </w:rPr>
              <w:t>Clinton House</w:t>
            </w:r>
          </w:p>
        </w:tc>
        <w:tc>
          <w:tcPr>
            <w:tcW w:w="1630" w:type="dxa"/>
          </w:tcPr>
          <w:p w14:paraId="74D80BFA"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928" w:type="dxa"/>
          </w:tcPr>
          <w:p w14:paraId="1F507CEB"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421" w:type="dxa"/>
          </w:tcPr>
          <w:p w14:paraId="6DD50A07"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580" w:type="dxa"/>
          </w:tcPr>
          <w:p w14:paraId="20EE9366"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r>
      <w:tr w:rsidR="00296189" w14:paraId="2A031631" w14:textId="77777777" w:rsidTr="00010BDD">
        <w:trPr>
          <w:jc w:val="center"/>
        </w:trPr>
        <w:tc>
          <w:tcPr>
            <w:tcW w:w="2425" w:type="dxa"/>
          </w:tcPr>
          <w:p w14:paraId="4960897D" w14:textId="77777777" w:rsidR="00296189" w:rsidRPr="00296189" w:rsidRDefault="00296189" w:rsidP="00010BDD">
            <w:pPr>
              <w:rPr>
                <w:rFonts w:cs="Times New Roman"/>
                <w:sz w:val="20"/>
              </w:rPr>
            </w:pPr>
            <w:r w:rsidRPr="00296189">
              <w:rPr>
                <w:rFonts w:cs="Times New Roman"/>
                <w:sz w:val="20"/>
              </w:rPr>
              <w:t>Millicent Fenwick House</w:t>
            </w:r>
          </w:p>
        </w:tc>
        <w:tc>
          <w:tcPr>
            <w:tcW w:w="1630" w:type="dxa"/>
          </w:tcPr>
          <w:p w14:paraId="17875741"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928" w:type="dxa"/>
          </w:tcPr>
          <w:p w14:paraId="3E2B2018"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421" w:type="dxa"/>
          </w:tcPr>
          <w:p w14:paraId="177B1D80"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580" w:type="dxa"/>
          </w:tcPr>
          <w:p w14:paraId="692776BD"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r>
      <w:tr w:rsidR="00296189" w14:paraId="33CC26D8" w14:textId="77777777" w:rsidTr="00010BDD">
        <w:trPr>
          <w:jc w:val="center"/>
        </w:trPr>
        <w:tc>
          <w:tcPr>
            <w:tcW w:w="2425" w:type="dxa"/>
          </w:tcPr>
          <w:p w14:paraId="53770DFF" w14:textId="77777777" w:rsidR="00296189" w:rsidRPr="00296189" w:rsidRDefault="00296189" w:rsidP="00010BDD">
            <w:pPr>
              <w:rPr>
                <w:rFonts w:cs="Times New Roman"/>
                <w:sz w:val="20"/>
              </w:rPr>
            </w:pPr>
            <w:r w:rsidRPr="00296189">
              <w:rPr>
                <w:rFonts w:cs="Times New Roman"/>
                <w:sz w:val="20"/>
              </w:rPr>
              <w:t>James A. Hemm House</w:t>
            </w:r>
          </w:p>
        </w:tc>
        <w:tc>
          <w:tcPr>
            <w:tcW w:w="1630" w:type="dxa"/>
          </w:tcPr>
          <w:p w14:paraId="1960D252"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928" w:type="dxa"/>
          </w:tcPr>
          <w:p w14:paraId="32714FBC"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421" w:type="dxa"/>
          </w:tcPr>
          <w:p w14:paraId="400C9EC3"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580" w:type="dxa"/>
          </w:tcPr>
          <w:p w14:paraId="3F3372E9"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r>
      <w:tr w:rsidR="00296189" w14:paraId="0CAFC29B" w14:textId="77777777" w:rsidTr="00010BDD">
        <w:trPr>
          <w:jc w:val="center"/>
        </w:trPr>
        <w:tc>
          <w:tcPr>
            <w:tcW w:w="2425" w:type="dxa"/>
          </w:tcPr>
          <w:p w14:paraId="39FAE9E9" w14:textId="77777777" w:rsidR="00296189" w:rsidRPr="00296189" w:rsidRDefault="00296189" w:rsidP="00010BDD">
            <w:pPr>
              <w:rPr>
                <w:rFonts w:cs="Times New Roman"/>
                <w:sz w:val="20"/>
              </w:rPr>
            </w:pPr>
            <w:r w:rsidRPr="00296189">
              <w:rPr>
                <w:rFonts w:cs="Times New Roman"/>
                <w:sz w:val="20"/>
              </w:rPr>
              <w:t>Total</w:t>
            </w:r>
          </w:p>
        </w:tc>
        <w:tc>
          <w:tcPr>
            <w:tcW w:w="1630" w:type="dxa"/>
          </w:tcPr>
          <w:p w14:paraId="69EC6762"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928" w:type="dxa"/>
          </w:tcPr>
          <w:p w14:paraId="2D470F57"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421" w:type="dxa"/>
          </w:tcPr>
          <w:p w14:paraId="1A24564C"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580" w:type="dxa"/>
          </w:tcPr>
          <w:p w14:paraId="7F0F6557"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r>
    </w:tbl>
    <w:p w14:paraId="4DC95B7F" w14:textId="77777777" w:rsidR="00885CF0" w:rsidRPr="00C82C08" w:rsidRDefault="00885CF0" w:rsidP="00510560">
      <w:pPr>
        <w:jc w:val="center"/>
        <w:rPr>
          <w:rFonts w:ascii="Times New Roman" w:hAnsi="Times New Roman" w:cs="Times New Roman"/>
          <w:sz w:val="12"/>
          <w:szCs w:val="26"/>
        </w:rPr>
      </w:pPr>
    </w:p>
    <w:p w14:paraId="40C7F0E7" w14:textId="77777777" w:rsidR="00885CF0" w:rsidRDefault="00885CF0" w:rsidP="00885CF0">
      <w:pPr>
        <w:jc w:val="center"/>
        <w:rPr>
          <w:rFonts w:ascii="Times New Roman" w:hAnsi="Times New Roman" w:cs="Times New Roman"/>
          <w:b/>
          <w:sz w:val="26"/>
          <w:szCs w:val="26"/>
          <w:u w:val="single" w:color="2E74B5" w:themeColor="accent1" w:themeShade="BF"/>
        </w:rPr>
      </w:pPr>
      <w:r>
        <w:rPr>
          <w:rFonts w:ascii="Times New Roman" w:hAnsi="Times New Roman" w:cs="Times New Roman"/>
          <w:b/>
          <w:sz w:val="26"/>
          <w:szCs w:val="26"/>
          <w:u w:val="single" w:color="2E74B5" w:themeColor="accent1" w:themeShade="BF"/>
        </w:rPr>
        <w:t>Staff</w:t>
      </w:r>
      <w:r w:rsidRPr="00885CF0">
        <w:rPr>
          <w:rFonts w:ascii="Times New Roman" w:hAnsi="Times New Roman" w:cs="Times New Roman"/>
          <w:b/>
          <w:sz w:val="26"/>
          <w:szCs w:val="26"/>
          <w:u w:val="single" w:color="2E74B5" w:themeColor="accent1" w:themeShade="BF"/>
        </w:rPr>
        <w:t xml:space="preserve">-on-Resident Sexual </w:t>
      </w:r>
      <w:r>
        <w:rPr>
          <w:rFonts w:ascii="Times New Roman" w:hAnsi="Times New Roman" w:cs="Times New Roman"/>
          <w:b/>
          <w:sz w:val="26"/>
          <w:szCs w:val="26"/>
          <w:u w:val="single" w:color="2E74B5" w:themeColor="accent1" w:themeShade="BF"/>
        </w:rPr>
        <w:t>Harassment</w:t>
      </w:r>
    </w:p>
    <w:p w14:paraId="5171989F" w14:textId="270727E6" w:rsidR="00296189" w:rsidRPr="00885CF0" w:rsidRDefault="00296189" w:rsidP="00296189">
      <w:pPr>
        <w:jc w:val="center"/>
        <w:rPr>
          <w:rFonts w:ascii="Times New Roman" w:hAnsi="Times New Roman" w:cs="Times New Roman"/>
          <w:b/>
          <w:sz w:val="26"/>
          <w:szCs w:val="26"/>
          <w:u w:val="single" w:color="2E74B5" w:themeColor="accent1" w:themeShade="BF"/>
        </w:rPr>
      </w:pPr>
      <w:r>
        <w:t xml:space="preserve">January 1, </w:t>
      </w:r>
      <w:proofErr w:type="gramStart"/>
      <w:r>
        <w:t>202</w:t>
      </w:r>
      <w:r w:rsidR="003905E0">
        <w:t>3</w:t>
      </w:r>
      <w:proofErr w:type="gramEnd"/>
      <w:r>
        <w:t xml:space="preserve"> through December 31, 202</w:t>
      </w:r>
      <w:r w:rsidR="003905E0">
        <w:t>3</w:t>
      </w:r>
    </w:p>
    <w:tbl>
      <w:tblPr>
        <w:tblStyle w:val="TableGrid"/>
        <w:tblW w:w="0" w:type="auto"/>
        <w:jc w:val="center"/>
        <w:tblLook w:val="04A0" w:firstRow="1" w:lastRow="0" w:firstColumn="1" w:lastColumn="0" w:noHBand="0" w:noVBand="1"/>
      </w:tblPr>
      <w:tblGrid>
        <w:gridCol w:w="2425"/>
        <w:gridCol w:w="1630"/>
        <w:gridCol w:w="1928"/>
        <w:gridCol w:w="1421"/>
        <w:gridCol w:w="1580"/>
      </w:tblGrid>
      <w:tr w:rsidR="00296189" w14:paraId="19A74ADD" w14:textId="77777777" w:rsidTr="00010BDD">
        <w:trPr>
          <w:jc w:val="center"/>
        </w:trPr>
        <w:tc>
          <w:tcPr>
            <w:tcW w:w="2425" w:type="dxa"/>
          </w:tcPr>
          <w:p w14:paraId="0DF8E947" w14:textId="77777777" w:rsidR="00296189" w:rsidRPr="00885CF0" w:rsidRDefault="00296189" w:rsidP="00010BDD">
            <w:pPr>
              <w:jc w:val="center"/>
              <w:rPr>
                <w:rFonts w:ascii="Times New Roman" w:hAnsi="Times New Roman" w:cs="Times New Roman"/>
                <w:b/>
                <w:color w:val="0070C0"/>
                <w:sz w:val="24"/>
                <w:szCs w:val="26"/>
              </w:rPr>
            </w:pPr>
            <w:r w:rsidRPr="00885CF0">
              <w:rPr>
                <w:rFonts w:ascii="Times New Roman" w:hAnsi="Times New Roman" w:cs="Times New Roman"/>
                <w:b/>
                <w:color w:val="0070C0"/>
                <w:sz w:val="24"/>
                <w:szCs w:val="26"/>
              </w:rPr>
              <w:t>Program</w:t>
            </w:r>
          </w:p>
        </w:tc>
        <w:tc>
          <w:tcPr>
            <w:tcW w:w="1630" w:type="dxa"/>
          </w:tcPr>
          <w:p w14:paraId="2119F048" w14:textId="77777777" w:rsidR="00296189" w:rsidRPr="00885CF0" w:rsidRDefault="00296189" w:rsidP="00010BDD">
            <w:pPr>
              <w:jc w:val="center"/>
              <w:rPr>
                <w:rFonts w:ascii="Times New Roman" w:hAnsi="Times New Roman" w:cs="Times New Roman"/>
                <w:b/>
                <w:color w:val="0070C0"/>
                <w:sz w:val="24"/>
                <w:szCs w:val="26"/>
              </w:rPr>
            </w:pPr>
            <w:r w:rsidRPr="00885CF0">
              <w:rPr>
                <w:rFonts w:ascii="Times New Roman" w:hAnsi="Times New Roman" w:cs="Times New Roman"/>
                <w:b/>
                <w:color w:val="0070C0"/>
                <w:sz w:val="24"/>
                <w:szCs w:val="26"/>
              </w:rPr>
              <w:t>Substantiated</w:t>
            </w:r>
          </w:p>
        </w:tc>
        <w:tc>
          <w:tcPr>
            <w:tcW w:w="1928" w:type="dxa"/>
          </w:tcPr>
          <w:p w14:paraId="7B23C96D" w14:textId="77777777" w:rsidR="00296189" w:rsidRPr="00885CF0" w:rsidRDefault="00296189" w:rsidP="00010BDD">
            <w:pPr>
              <w:jc w:val="center"/>
              <w:rPr>
                <w:rFonts w:ascii="Times New Roman" w:hAnsi="Times New Roman" w:cs="Times New Roman"/>
                <w:b/>
                <w:color w:val="0070C0"/>
                <w:sz w:val="24"/>
                <w:szCs w:val="26"/>
              </w:rPr>
            </w:pPr>
            <w:r w:rsidRPr="00885CF0">
              <w:rPr>
                <w:rFonts w:ascii="Times New Roman" w:hAnsi="Times New Roman" w:cs="Times New Roman"/>
                <w:b/>
                <w:color w:val="0070C0"/>
                <w:sz w:val="24"/>
                <w:szCs w:val="26"/>
              </w:rPr>
              <w:t>Unsubstantiated</w:t>
            </w:r>
          </w:p>
        </w:tc>
        <w:tc>
          <w:tcPr>
            <w:tcW w:w="1421" w:type="dxa"/>
          </w:tcPr>
          <w:p w14:paraId="26F3618C" w14:textId="77777777" w:rsidR="00296189" w:rsidRPr="00885CF0" w:rsidRDefault="00296189" w:rsidP="00010BDD">
            <w:pPr>
              <w:jc w:val="center"/>
              <w:rPr>
                <w:rFonts w:ascii="Times New Roman" w:hAnsi="Times New Roman" w:cs="Times New Roman"/>
                <w:b/>
                <w:color w:val="0070C0"/>
                <w:sz w:val="24"/>
                <w:szCs w:val="26"/>
              </w:rPr>
            </w:pPr>
            <w:r w:rsidRPr="00885CF0">
              <w:rPr>
                <w:rFonts w:ascii="Times New Roman" w:hAnsi="Times New Roman" w:cs="Times New Roman"/>
                <w:b/>
                <w:color w:val="0070C0"/>
                <w:sz w:val="24"/>
                <w:szCs w:val="26"/>
              </w:rPr>
              <w:t>Unfounded</w:t>
            </w:r>
          </w:p>
        </w:tc>
        <w:tc>
          <w:tcPr>
            <w:tcW w:w="1580" w:type="dxa"/>
          </w:tcPr>
          <w:p w14:paraId="61F1F094" w14:textId="77777777" w:rsidR="00296189" w:rsidRPr="00885CF0" w:rsidRDefault="00296189" w:rsidP="00010BDD">
            <w:pPr>
              <w:jc w:val="center"/>
              <w:rPr>
                <w:rFonts w:ascii="Times New Roman" w:hAnsi="Times New Roman" w:cs="Times New Roman"/>
                <w:b/>
                <w:color w:val="0070C0"/>
                <w:sz w:val="24"/>
                <w:szCs w:val="26"/>
              </w:rPr>
            </w:pPr>
            <w:r w:rsidRPr="00885CF0">
              <w:rPr>
                <w:rFonts w:ascii="Times New Roman" w:hAnsi="Times New Roman" w:cs="Times New Roman"/>
                <w:b/>
                <w:color w:val="0070C0"/>
                <w:sz w:val="24"/>
                <w:szCs w:val="26"/>
              </w:rPr>
              <w:t>On-Going Investigation</w:t>
            </w:r>
          </w:p>
        </w:tc>
      </w:tr>
      <w:tr w:rsidR="00296189" w14:paraId="01B14E15" w14:textId="77777777" w:rsidTr="00010BDD">
        <w:trPr>
          <w:jc w:val="center"/>
        </w:trPr>
        <w:tc>
          <w:tcPr>
            <w:tcW w:w="2425" w:type="dxa"/>
          </w:tcPr>
          <w:p w14:paraId="41EFC5BE" w14:textId="77777777" w:rsidR="00296189" w:rsidRPr="00296189" w:rsidRDefault="00296189" w:rsidP="00010BDD">
            <w:pPr>
              <w:rPr>
                <w:rFonts w:cs="Times New Roman"/>
                <w:sz w:val="20"/>
              </w:rPr>
            </w:pPr>
            <w:r w:rsidRPr="00296189">
              <w:rPr>
                <w:rFonts w:cs="Times New Roman"/>
                <w:sz w:val="20"/>
              </w:rPr>
              <w:t>Clinton House</w:t>
            </w:r>
          </w:p>
        </w:tc>
        <w:tc>
          <w:tcPr>
            <w:tcW w:w="1630" w:type="dxa"/>
          </w:tcPr>
          <w:p w14:paraId="2681F27A"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928" w:type="dxa"/>
          </w:tcPr>
          <w:p w14:paraId="623FEDBD"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421" w:type="dxa"/>
          </w:tcPr>
          <w:p w14:paraId="49904713"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580" w:type="dxa"/>
          </w:tcPr>
          <w:p w14:paraId="3F036E75"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r>
      <w:tr w:rsidR="00296189" w14:paraId="10499032" w14:textId="77777777" w:rsidTr="00010BDD">
        <w:trPr>
          <w:jc w:val="center"/>
        </w:trPr>
        <w:tc>
          <w:tcPr>
            <w:tcW w:w="2425" w:type="dxa"/>
          </w:tcPr>
          <w:p w14:paraId="0A0D2B5D" w14:textId="77777777" w:rsidR="00296189" w:rsidRPr="00296189" w:rsidRDefault="00296189" w:rsidP="00010BDD">
            <w:pPr>
              <w:rPr>
                <w:rFonts w:cs="Times New Roman"/>
                <w:sz w:val="20"/>
              </w:rPr>
            </w:pPr>
            <w:r w:rsidRPr="00296189">
              <w:rPr>
                <w:rFonts w:cs="Times New Roman"/>
                <w:sz w:val="20"/>
              </w:rPr>
              <w:t>Millicent Fenwick House</w:t>
            </w:r>
          </w:p>
        </w:tc>
        <w:tc>
          <w:tcPr>
            <w:tcW w:w="1630" w:type="dxa"/>
          </w:tcPr>
          <w:p w14:paraId="364536F3"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928" w:type="dxa"/>
          </w:tcPr>
          <w:p w14:paraId="1859E089"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421" w:type="dxa"/>
          </w:tcPr>
          <w:p w14:paraId="4B07B146"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580" w:type="dxa"/>
          </w:tcPr>
          <w:p w14:paraId="0128AB8A"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r>
      <w:tr w:rsidR="00296189" w14:paraId="4A117CF2" w14:textId="77777777" w:rsidTr="00010BDD">
        <w:trPr>
          <w:jc w:val="center"/>
        </w:trPr>
        <w:tc>
          <w:tcPr>
            <w:tcW w:w="2425" w:type="dxa"/>
          </w:tcPr>
          <w:p w14:paraId="712D9771" w14:textId="77777777" w:rsidR="00296189" w:rsidRPr="00296189" w:rsidRDefault="00296189" w:rsidP="00010BDD">
            <w:pPr>
              <w:rPr>
                <w:rFonts w:cs="Times New Roman"/>
                <w:sz w:val="20"/>
              </w:rPr>
            </w:pPr>
            <w:r w:rsidRPr="00296189">
              <w:rPr>
                <w:rFonts w:cs="Times New Roman"/>
                <w:sz w:val="20"/>
              </w:rPr>
              <w:t>James A. Hemm House</w:t>
            </w:r>
          </w:p>
        </w:tc>
        <w:tc>
          <w:tcPr>
            <w:tcW w:w="1630" w:type="dxa"/>
          </w:tcPr>
          <w:p w14:paraId="7D17C81D"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928" w:type="dxa"/>
          </w:tcPr>
          <w:p w14:paraId="14650516"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421" w:type="dxa"/>
          </w:tcPr>
          <w:p w14:paraId="0280DCE9"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580" w:type="dxa"/>
          </w:tcPr>
          <w:p w14:paraId="24A787CD"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r>
      <w:tr w:rsidR="00296189" w14:paraId="518A5E9C" w14:textId="77777777" w:rsidTr="00010BDD">
        <w:trPr>
          <w:jc w:val="center"/>
        </w:trPr>
        <w:tc>
          <w:tcPr>
            <w:tcW w:w="2425" w:type="dxa"/>
          </w:tcPr>
          <w:p w14:paraId="1BF3269C" w14:textId="77777777" w:rsidR="00296189" w:rsidRPr="00296189" w:rsidRDefault="00296189" w:rsidP="00010BDD">
            <w:pPr>
              <w:rPr>
                <w:rFonts w:cs="Times New Roman"/>
                <w:sz w:val="20"/>
              </w:rPr>
            </w:pPr>
            <w:r w:rsidRPr="00296189">
              <w:rPr>
                <w:rFonts w:cs="Times New Roman"/>
                <w:sz w:val="20"/>
              </w:rPr>
              <w:t>Total</w:t>
            </w:r>
          </w:p>
        </w:tc>
        <w:tc>
          <w:tcPr>
            <w:tcW w:w="1630" w:type="dxa"/>
          </w:tcPr>
          <w:p w14:paraId="5A1CE837"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928" w:type="dxa"/>
          </w:tcPr>
          <w:p w14:paraId="22057301"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421" w:type="dxa"/>
          </w:tcPr>
          <w:p w14:paraId="4619ABDA"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c>
          <w:tcPr>
            <w:tcW w:w="1580" w:type="dxa"/>
          </w:tcPr>
          <w:p w14:paraId="61E2B6C4" w14:textId="77777777" w:rsidR="00296189" w:rsidRPr="00296189" w:rsidRDefault="00296189" w:rsidP="00010BDD">
            <w:pPr>
              <w:jc w:val="center"/>
              <w:rPr>
                <w:rFonts w:ascii="Times New Roman" w:hAnsi="Times New Roman" w:cs="Times New Roman"/>
                <w:sz w:val="20"/>
                <w:szCs w:val="26"/>
              </w:rPr>
            </w:pPr>
            <w:r w:rsidRPr="00296189">
              <w:rPr>
                <w:rFonts w:ascii="Times New Roman" w:hAnsi="Times New Roman" w:cs="Times New Roman"/>
                <w:sz w:val="20"/>
                <w:szCs w:val="26"/>
              </w:rPr>
              <w:t>0</w:t>
            </w:r>
          </w:p>
        </w:tc>
      </w:tr>
    </w:tbl>
    <w:p w14:paraId="445C659B" w14:textId="77777777" w:rsidR="00F76910" w:rsidRPr="00C82C08" w:rsidRDefault="00F76910" w:rsidP="00C82C08">
      <w:pPr>
        <w:ind w:firstLine="720"/>
        <w:rPr>
          <w:rFonts w:ascii="Times New Roman" w:hAnsi="Times New Roman" w:cs="Times New Roman"/>
          <w:b/>
          <w:color w:val="0070C0"/>
          <w:sz w:val="18"/>
          <w:szCs w:val="26"/>
        </w:rPr>
      </w:pPr>
    </w:p>
    <w:p w14:paraId="27B2CA78" w14:textId="77777777" w:rsidR="00885CF0" w:rsidRPr="004C2B51" w:rsidRDefault="00885CF0" w:rsidP="00885CF0">
      <w:pPr>
        <w:rPr>
          <w:rFonts w:ascii="Times New Roman" w:hAnsi="Times New Roman" w:cs="Times New Roman"/>
          <w:b/>
          <w:color w:val="0070C0"/>
          <w:sz w:val="24"/>
          <w:szCs w:val="26"/>
        </w:rPr>
      </w:pPr>
      <w:r w:rsidRPr="004C2B51">
        <w:rPr>
          <w:rFonts w:ascii="Times New Roman" w:hAnsi="Times New Roman" w:cs="Times New Roman"/>
          <w:b/>
          <w:color w:val="0070C0"/>
          <w:sz w:val="24"/>
          <w:szCs w:val="26"/>
        </w:rPr>
        <w:t>ANALYSIS</w:t>
      </w:r>
    </w:p>
    <w:p w14:paraId="110E2B4C" w14:textId="0820CE2D" w:rsidR="00885CF0" w:rsidRDefault="00885CF0" w:rsidP="00885CF0">
      <w:pPr>
        <w:rPr>
          <w:rFonts w:cs="Times New Roman"/>
          <w:szCs w:val="26"/>
        </w:rPr>
      </w:pPr>
      <w:r w:rsidRPr="00885CF0">
        <w:rPr>
          <w:rFonts w:cs="Times New Roman"/>
          <w:szCs w:val="26"/>
        </w:rPr>
        <w:t>Comparison between 20</w:t>
      </w:r>
      <w:r w:rsidR="003905E0">
        <w:rPr>
          <w:rFonts w:cs="Times New Roman"/>
          <w:szCs w:val="26"/>
        </w:rPr>
        <w:t>22</w:t>
      </w:r>
      <w:r w:rsidRPr="00885CF0">
        <w:rPr>
          <w:rFonts w:cs="Times New Roman"/>
          <w:szCs w:val="26"/>
        </w:rPr>
        <w:t xml:space="preserve"> and 20</w:t>
      </w:r>
      <w:r w:rsidR="00296189">
        <w:rPr>
          <w:rFonts w:cs="Times New Roman"/>
          <w:szCs w:val="26"/>
        </w:rPr>
        <w:t>2</w:t>
      </w:r>
      <w:r w:rsidR="003905E0">
        <w:rPr>
          <w:rFonts w:cs="Times New Roman"/>
          <w:szCs w:val="26"/>
        </w:rPr>
        <w:t>3</w:t>
      </w:r>
      <w:r w:rsidRPr="00885CF0">
        <w:rPr>
          <w:rFonts w:cs="Times New Roman"/>
          <w:szCs w:val="26"/>
        </w:rPr>
        <w:t xml:space="preserve"> data shows</w:t>
      </w:r>
      <w:r>
        <w:rPr>
          <w:rFonts w:cs="Times New Roman"/>
          <w:szCs w:val="26"/>
        </w:rPr>
        <w:t>:</w:t>
      </w:r>
    </w:p>
    <w:p w14:paraId="679FC3F2" w14:textId="1CE84660" w:rsidR="00885CF0" w:rsidRPr="00885CF0" w:rsidRDefault="00885CF0" w:rsidP="00885CF0">
      <w:pPr>
        <w:pStyle w:val="ListParagraph"/>
        <w:numPr>
          <w:ilvl w:val="0"/>
          <w:numId w:val="3"/>
        </w:numPr>
        <w:rPr>
          <w:rFonts w:cs="Times New Roman"/>
          <w:szCs w:val="26"/>
        </w:rPr>
      </w:pPr>
      <w:r w:rsidRPr="00885CF0">
        <w:rPr>
          <w:rFonts w:cs="Times New Roman"/>
          <w:szCs w:val="26"/>
        </w:rPr>
        <w:t>20</w:t>
      </w:r>
      <w:r w:rsidR="003905E0">
        <w:rPr>
          <w:rFonts w:cs="Times New Roman"/>
          <w:szCs w:val="26"/>
        </w:rPr>
        <w:t>22</w:t>
      </w:r>
      <w:proofErr w:type="gramStart"/>
      <w:r w:rsidRPr="00885CF0">
        <w:rPr>
          <w:rFonts w:cs="Times New Roman"/>
          <w:szCs w:val="26"/>
        </w:rPr>
        <w:t xml:space="preserve">:  </w:t>
      </w:r>
      <w:r>
        <w:rPr>
          <w:rFonts w:cs="Times New Roman"/>
          <w:szCs w:val="26"/>
        </w:rPr>
        <w:tab/>
      </w:r>
      <w:proofErr w:type="gramEnd"/>
      <w:r>
        <w:rPr>
          <w:rFonts w:cs="Times New Roman"/>
          <w:szCs w:val="26"/>
        </w:rPr>
        <w:t>0</w:t>
      </w:r>
      <w:r w:rsidRPr="00885CF0">
        <w:rPr>
          <w:rFonts w:cs="Times New Roman"/>
          <w:szCs w:val="26"/>
        </w:rPr>
        <w:t xml:space="preserve"> substantiated cases from </w:t>
      </w:r>
      <w:r w:rsidR="009C4888">
        <w:rPr>
          <w:rFonts w:cs="Times New Roman"/>
          <w:szCs w:val="26"/>
        </w:rPr>
        <w:t>0</w:t>
      </w:r>
      <w:r>
        <w:rPr>
          <w:rFonts w:cs="Times New Roman"/>
          <w:szCs w:val="26"/>
        </w:rPr>
        <w:t xml:space="preserve"> allegation</w:t>
      </w:r>
      <w:r w:rsidR="009C4888">
        <w:rPr>
          <w:rFonts w:cs="Times New Roman"/>
          <w:szCs w:val="26"/>
        </w:rPr>
        <w:t>s</w:t>
      </w:r>
    </w:p>
    <w:p w14:paraId="772D03BC" w14:textId="60F785BA" w:rsidR="00885CF0" w:rsidRDefault="00885CF0" w:rsidP="00885CF0">
      <w:pPr>
        <w:pStyle w:val="ListParagraph"/>
        <w:numPr>
          <w:ilvl w:val="0"/>
          <w:numId w:val="3"/>
        </w:numPr>
        <w:rPr>
          <w:rFonts w:cs="Times New Roman"/>
          <w:szCs w:val="26"/>
        </w:rPr>
      </w:pPr>
      <w:r w:rsidRPr="00885CF0">
        <w:rPr>
          <w:rFonts w:cs="Times New Roman"/>
          <w:szCs w:val="26"/>
        </w:rPr>
        <w:t>20</w:t>
      </w:r>
      <w:r w:rsidR="00296189">
        <w:rPr>
          <w:rFonts w:cs="Times New Roman"/>
          <w:szCs w:val="26"/>
        </w:rPr>
        <w:t>2</w:t>
      </w:r>
      <w:r w:rsidR="003905E0">
        <w:rPr>
          <w:rFonts w:cs="Times New Roman"/>
          <w:szCs w:val="26"/>
        </w:rPr>
        <w:t>3</w:t>
      </w:r>
      <w:proofErr w:type="gramStart"/>
      <w:r w:rsidRPr="00885CF0">
        <w:rPr>
          <w:rFonts w:cs="Times New Roman"/>
          <w:szCs w:val="26"/>
        </w:rPr>
        <w:t xml:space="preserve">: </w:t>
      </w:r>
      <w:r>
        <w:rPr>
          <w:rFonts w:cs="Times New Roman"/>
          <w:szCs w:val="26"/>
        </w:rPr>
        <w:tab/>
        <w:t>0</w:t>
      </w:r>
      <w:proofErr w:type="gramEnd"/>
      <w:r w:rsidRPr="00885CF0">
        <w:rPr>
          <w:rFonts w:cs="Times New Roman"/>
          <w:szCs w:val="26"/>
        </w:rPr>
        <w:t xml:space="preserve"> substantiated cases from </w:t>
      </w:r>
      <w:r w:rsidR="00296189">
        <w:rPr>
          <w:rFonts w:cs="Times New Roman"/>
          <w:szCs w:val="26"/>
        </w:rPr>
        <w:t>0</w:t>
      </w:r>
      <w:r w:rsidRPr="00885CF0">
        <w:rPr>
          <w:rFonts w:cs="Times New Roman"/>
          <w:szCs w:val="26"/>
        </w:rPr>
        <w:t xml:space="preserve"> all</w:t>
      </w:r>
      <w:r w:rsidR="00C82C08">
        <w:rPr>
          <w:rFonts w:cs="Times New Roman"/>
          <w:szCs w:val="26"/>
        </w:rPr>
        <w:t>egation</w:t>
      </w:r>
      <w:r w:rsidR="00296189">
        <w:rPr>
          <w:rFonts w:cs="Times New Roman"/>
          <w:szCs w:val="26"/>
        </w:rPr>
        <w:t>s</w:t>
      </w:r>
    </w:p>
    <w:p w14:paraId="14F547EC" w14:textId="77777777" w:rsidR="00885CF0" w:rsidRDefault="00F76910" w:rsidP="00885CF0">
      <w:pPr>
        <w:pStyle w:val="ListParagraph"/>
        <w:numPr>
          <w:ilvl w:val="1"/>
          <w:numId w:val="3"/>
        </w:numPr>
        <w:rPr>
          <w:rFonts w:cs="Times New Roman"/>
          <w:szCs w:val="26"/>
        </w:rPr>
      </w:pPr>
      <w:r>
        <w:rPr>
          <w:rFonts w:cs="Times New Roman"/>
          <w:szCs w:val="26"/>
        </w:rPr>
        <w:t>No trending report. Substantiated cases remain at zero.</w:t>
      </w:r>
    </w:p>
    <w:p w14:paraId="20D4EFB2" w14:textId="77777777" w:rsidR="00F76910" w:rsidRPr="00C82C08" w:rsidRDefault="00C82C08" w:rsidP="00C82C08">
      <w:pPr>
        <w:tabs>
          <w:tab w:val="left" w:pos="1035"/>
        </w:tabs>
        <w:rPr>
          <w:rFonts w:cs="Times New Roman"/>
          <w:sz w:val="20"/>
          <w:szCs w:val="26"/>
        </w:rPr>
      </w:pPr>
      <w:r>
        <w:rPr>
          <w:rFonts w:cs="Times New Roman"/>
          <w:szCs w:val="26"/>
        </w:rPr>
        <w:tab/>
      </w:r>
    </w:p>
    <w:p w14:paraId="23FC33AB" w14:textId="77777777" w:rsidR="00885CF0" w:rsidRPr="004C2B51" w:rsidRDefault="00F76910" w:rsidP="00885CF0">
      <w:pPr>
        <w:rPr>
          <w:rFonts w:ascii="Times New Roman" w:hAnsi="Times New Roman" w:cs="Times New Roman"/>
          <w:b/>
          <w:color w:val="2E74B5" w:themeColor="accent1" w:themeShade="BF"/>
          <w:sz w:val="24"/>
          <w:szCs w:val="26"/>
        </w:rPr>
      </w:pPr>
      <w:r w:rsidRPr="004C2B51">
        <w:rPr>
          <w:rFonts w:ascii="Times New Roman" w:hAnsi="Times New Roman" w:cs="Times New Roman"/>
          <w:b/>
          <w:color w:val="2E74B5" w:themeColor="accent1" w:themeShade="BF"/>
          <w:sz w:val="24"/>
          <w:szCs w:val="26"/>
        </w:rPr>
        <w:t>POLICY STATEMENT</w:t>
      </w:r>
    </w:p>
    <w:p w14:paraId="1D56DCD9" w14:textId="77777777" w:rsidR="00F76910" w:rsidRDefault="00F76910" w:rsidP="00F76910">
      <w:pPr>
        <w:jc w:val="both"/>
        <w:rPr>
          <w:color w:val="000000" w:themeColor="text1"/>
        </w:rPr>
      </w:pPr>
      <w:r w:rsidRPr="00F76910">
        <w:rPr>
          <w:color w:val="000000" w:themeColor="text1"/>
        </w:rPr>
        <w:t>The New Jersey Association on Correction has a zero-tolerance policy relative to sexual misconduct. Sexual</w:t>
      </w:r>
      <w:r w:rsidRPr="00F76910">
        <w:rPr>
          <w:color w:val="000000" w:themeColor="text1"/>
          <w:spacing w:val="33"/>
        </w:rPr>
        <w:t xml:space="preserve"> </w:t>
      </w:r>
      <w:r w:rsidRPr="00F76910">
        <w:rPr>
          <w:color w:val="000000" w:themeColor="text1"/>
        </w:rPr>
        <w:t>conduct</w:t>
      </w:r>
      <w:r w:rsidRPr="00F76910">
        <w:rPr>
          <w:color w:val="000000" w:themeColor="text1"/>
          <w:spacing w:val="28"/>
        </w:rPr>
        <w:t xml:space="preserve"> </w:t>
      </w:r>
      <w:r w:rsidRPr="00F76910">
        <w:rPr>
          <w:color w:val="000000" w:themeColor="text1"/>
        </w:rPr>
        <w:t>between</w:t>
      </w:r>
      <w:r w:rsidRPr="00F76910">
        <w:rPr>
          <w:color w:val="000000" w:themeColor="text1"/>
          <w:spacing w:val="27"/>
        </w:rPr>
        <w:t xml:space="preserve"> </w:t>
      </w:r>
      <w:r w:rsidRPr="00F76910">
        <w:rPr>
          <w:color w:val="000000" w:themeColor="text1"/>
        </w:rPr>
        <w:t>employees,</w:t>
      </w:r>
      <w:r w:rsidRPr="00F76910">
        <w:rPr>
          <w:color w:val="000000" w:themeColor="text1"/>
          <w:spacing w:val="29"/>
        </w:rPr>
        <w:t xml:space="preserve"> </w:t>
      </w:r>
      <w:r w:rsidRPr="00F76910">
        <w:rPr>
          <w:color w:val="000000" w:themeColor="text1"/>
        </w:rPr>
        <w:t>volunteers,</w:t>
      </w:r>
      <w:r w:rsidRPr="00F76910">
        <w:rPr>
          <w:color w:val="000000" w:themeColor="text1"/>
          <w:spacing w:val="46"/>
        </w:rPr>
        <w:t xml:space="preserve"> </w:t>
      </w:r>
      <w:r w:rsidRPr="00F76910">
        <w:rPr>
          <w:color w:val="000000" w:themeColor="text1"/>
        </w:rPr>
        <w:t>or</w:t>
      </w:r>
      <w:r w:rsidRPr="00F76910">
        <w:rPr>
          <w:color w:val="000000" w:themeColor="text1"/>
          <w:spacing w:val="7"/>
        </w:rPr>
        <w:t xml:space="preserve"> </w:t>
      </w:r>
      <w:r w:rsidRPr="00F76910">
        <w:rPr>
          <w:color w:val="000000" w:themeColor="text1"/>
        </w:rPr>
        <w:t>contractors</w:t>
      </w:r>
      <w:r w:rsidRPr="00F76910">
        <w:rPr>
          <w:color w:val="000000" w:themeColor="text1"/>
          <w:spacing w:val="31"/>
        </w:rPr>
        <w:t xml:space="preserve"> </w:t>
      </w:r>
      <w:r w:rsidRPr="00F76910">
        <w:rPr>
          <w:color w:val="000000" w:themeColor="text1"/>
        </w:rPr>
        <w:t>and</w:t>
      </w:r>
      <w:r w:rsidRPr="00F76910">
        <w:rPr>
          <w:color w:val="000000" w:themeColor="text1"/>
          <w:spacing w:val="26"/>
        </w:rPr>
        <w:t xml:space="preserve"> </w:t>
      </w:r>
      <w:r w:rsidRPr="00F76910">
        <w:rPr>
          <w:color w:val="000000" w:themeColor="text1"/>
        </w:rPr>
        <w:t>residents</w:t>
      </w:r>
      <w:r w:rsidR="004C2B51">
        <w:rPr>
          <w:color w:val="000000" w:themeColor="text1"/>
        </w:rPr>
        <w:t xml:space="preserve"> </w:t>
      </w:r>
      <w:r w:rsidRPr="00F76910">
        <w:rPr>
          <w:color w:val="000000" w:themeColor="text1"/>
        </w:rPr>
        <w:t>is</w:t>
      </w:r>
      <w:r w:rsidRPr="00F76910">
        <w:rPr>
          <w:color w:val="000000" w:themeColor="text1"/>
          <w:spacing w:val="-17"/>
        </w:rPr>
        <w:t xml:space="preserve"> </w:t>
      </w:r>
      <w:r w:rsidRPr="00F76910">
        <w:rPr>
          <w:color w:val="000000" w:themeColor="text1"/>
        </w:rPr>
        <w:t>prohibited</w:t>
      </w:r>
      <w:r w:rsidR="004C2B51">
        <w:rPr>
          <w:color w:val="000000" w:themeColor="text1"/>
          <w:spacing w:val="53"/>
        </w:rPr>
        <w:t xml:space="preserve"> </w:t>
      </w:r>
      <w:r w:rsidRPr="00F76910">
        <w:rPr>
          <w:color w:val="000000" w:themeColor="text1"/>
        </w:rPr>
        <w:t>and</w:t>
      </w:r>
      <w:r w:rsidRPr="00F76910">
        <w:rPr>
          <w:color w:val="000000" w:themeColor="text1"/>
          <w:spacing w:val="22"/>
        </w:rPr>
        <w:t xml:space="preserve"> </w:t>
      </w:r>
      <w:r w:rsidRPr="00F76910">
        <w:rPr>
          <w:color w:val="000000" w:themeColor="text1"/>
        </w:rPr>
        <w:t>subject</w:t>
      </w:r>
      <w:r w:rsidRPr="00F76910">
        <w:rPr>
          <w:color w:val="000000" w:themeColor="text1"/>
          <w:spacing w:val="5"/>
        </w:rPr>
        <w:t xml:space="preserve"> </w:t>
      </w:r>
      <w:r w:rsidRPr="00F76910">
        <w:rPr>
          <w:color w:val="000000" w:themeColor="text1"/>
        </w:rPr>
        <w:t>to</w:t>
      </w:r>
      <w:r w:rsidRPr="00F76910">
        <w:rPr>
          <w:color w:val="000000" w:themeColor="text1"/>
          <w:spacing w:val="16"/>
        </w:rPr>
        <w:t xml:space="preserve"> </w:t>
      </w:r>
      <w:r w:rsidRPr="00F76910">
        <w:rPr>
          <w:color w:val="000000" w:themeColor="text1"/>
        </w:rPr>
        <w:t>sanctions.</w:t>
      </w:r>
      <w:r w:rsidRPr="00F76910">
        <w:rPr>
          <w:color w:val="000000" w:themeColor="text1"/>
          <w:spacing w:val="41"/>
        </w:rPr>
        <w:t xml:space="preserve"> </w:t>
      </w:r>
      <w:r w:rsidRPr="00F76910">
        <w:rPr>
          <w:color w:val="000000" w:themeColor="text1"/>
        </w:rPr>
        <w:t>All NJAC inmate reentry programs comply with federal and respective state laws as they pertain to PREA, sexual violence and sexual misconduct. Personal</w:t>
      </w:r>
      <w:r w:rsidRPr="00F76910">
        <w:rPr>
          <w:color w:val="000000" w:themeColor="text1"/>
          <w:spacing w:val="46"/>
        </w:rPr>
        <w:t xml:space="preserve"> </w:t>
      </w:r>
      <w:r w:rsidRPr="00F76910">
        <w:rPr>
          <w:color w:val="000000" w:themeColor="text1"/>
        </w:rPr>
        <w:t>identifiers</w:t>
      </w:r>
      <w:r w:rsidRPr="00F76910">
        <w:rPr>
          <w:color w:val="000000" w:themeColor="text1"/>
          <w:spacing w:val="26"/>
        </w:rPr>
        <w:t xml:space="preserve"> </w:t>
      </w:r>
      <w:r w:rsidRPr="00F76910">
        <w:rPr>
          <w:color w:val="000000" w:themeColor="text1"/>
        </w:rPr>
        <w:t>were</w:t>
      </w:r>
      <w:r w:rsidRPr="00F76910">
        <w:rPr>
          <w:color w:val="000000" w:themeColor="text1"/>
          <w:spacing w:val="31"/>
        </w:rPr>
        <w:t xml:space="preserve"> </w:t>
      </w:r>
      <w:r w:rsidRPr="00F76910">
        <w:rPr>
          <w:color w:val="000000" w:themeColor="text1"/>
        </w:rPr>
        <w:t>omitted</w:t>
      </w:r>
      <w:r w:rsidRPr="00F76910">
        <w:rPr>
          <w:color w:val="000000" w:themeColor="text1"/>
          <w:spacing w:val="45"/>
        </w:rPr>
        <w:t xml:space="preserve"> </w:t>
      </w:r>
      <w:r w:rsidRPr="00F76910">
        <w:rPr>
          <w:color w:val="000000" w:themeColor="text1"/>
        </w:rPr>
        <w:t>from</w:t>
      </w:r>
      <w:r w:rsidRPr="00F76910">
        <w:rPr>
          <w:color w:val="000000" w:themeColor="text1"/>
          <w:spacing w:val="28"/>
        </w:rPr>
        <w:t xml:space="preserve"> </w:t>
      </w:r>
      <w:r w:rsidRPr="00F76910">
        <w:rPr>
          <w:color w:val="000000" w:themeColor="text1"/>
        </w:rPr>
        <w:t>this</w:t>
      </w:r>
      <w:r w:rsidRPr="00F76910">
        <w:rPr>
          <w:color w:val="000000" w:themeColor="text1"/>
          <w:spacing w:val="21"/>
        </w:rPr>
        <w:t xml:space="preserve"> </w:t>
      </w:r>
      <w:r w:rsidRPr="00F76910">
        <w:rPr>
          <w:color w:val="000000" w:themeColor="text1"/>
        </w:rPr>
        <w:t>report</w:t>
      </w:r>
      <w:r w:rsidRPr="00F76910">
        <w:rPr>
          <w:color w:val="000000" w:themeColor="text1"/>
          <w:spacing w:val="26"/>
        </w:rPr>
        <w:t xml:space="preserve"> </w:t>
      </w:r>
      <w:r w:rsidRPr="00F76910">
        <w:rPr>
          <w:color w:val="000000" w:themeColor="text1"/>
        </w:rPr>
        <w:t>to</w:t>
      </w:r>
      <w:r w:rsidRPr="00F76910">
        <w:rPr>
          <w:color w:val="000000" w:themeColor="text1"/>
          <w:spacing w:val="26"/>
        </w:rPr>
        <w:t xml:space="preserve"> </w:t>
      </w:r>
      <w:r w:rsidRPr="00F76910">
        <w:rPr>
          <w:color w:val="000000" w:themeColor="text1"/>
        </w:rPr>
        <w:t>ensure</w:t>
      </w:r>
      <w:r w:rsidRPr="00F76910">
        <w:rPr>
          <w:color w:val="000000" w:themeColor="text1"/>
          <w:w w:val="102"/>
        </w:rPr>
        <w:t xml:space="preserve"> </w:t>
      </w:r>
      <w:r w:rsidRPr="00F76910">
        <w:rPr>
          <w:color w:val="000000" w:themeColor="text1"/>
        </w:rPr>
        <w:t>the</w:t>
      </w:r>
      <w:r w:rsidRPr="00F76910">
        <w:rPr>
          <w:color w:val="000000" w:themeColor="text1"/>
          <w:spacing w:val="18"/>
        </w:rPr>
        <w:t xml:space="preserve"> </w:t>
      </w:r>
      <w:r w:rsidRPr="00F76910">
        <w:rPr>
          <w:color w:val="000000" w:themeColor="text1"/>
        </w:rPr>
        <w:t>safety</w:t>
      </w:r>
      <w:r w:rsidRPr="00F76910">
        <w:rPr>
          <w:color w:val="000000" w:themeColor="text1"/>
          <w:spacing w:val="20"/>
        </w:rPr>
        <w:t xml:space="preserve"> </w:t>
      </w:r>
      <w:r w:rsidRPr="00F76910">
        <w:rPr>
          <w:color w:val="000000" w:themeColor="text1"/>
        </w:rPr>
        <w:t>and</w:t>
      </w:r>
      <w:r w:rsidRPr="00F76910">
        <w:rPr>
          <w:color w:val="000000" w:themeColor="text1"/>
          <w:spacing w:val="27"/>
        </w:rPr>
        <w:t xml:space="preserve"> </w:t>
      </w:r>
      <w:r w:rsidRPr="00F76910">
        <w:rPr>
          <w:color w:val="000000" w:themeColor="text1"/>
        </w:rPr>
        <w:t>security</w:t>
      </w:r>
      <w:r w:rsidRPr="00F76910">
        <w:rPr>
          <w:color w:val="000000" w:themeColor="text1"/>
          <w:spacing w:val="31"/>
        </w:rPr>
        <w:t xml:space="preserve"> </w:t>
      </w:r>
      <w:r w:rsidRPr="00F76910">
        <w:rPr>
          <w:color w:val="000000" w:themeColor="text1"/>
        </w:rPr>
        <w:t>of</w:t>
      </w:r>
      <w:r w:rsidRPr="00F76910">
        <w:rPr>
          <w:color w:val="000000" w:themeColor="text1"/>
          <w:spacing w:val="18"/>
        </w:rPr>
        <w:t xml:space="preserve"> </w:t>
      </w:r>
      <w:r w:rsidRPr="00F76910">
        <w:rPr>
          <w:color w:val="000000" w:themeColor="text1"/>
        </w:rPr>
        <w:t>staff</w:t>
      </w:r>
      <w:r w:rsidRPr="00F76910">
        <w:rPr>
          <w:color w:val="000000" w:themeColor="text1"/>
          <w:spacing w:val="9"/>
        </w:rPr>
        <w:t xml:space="preserve"> </w:t>
      </w:r>
      <w:r w:rsidRPr="00F76910">
        <w:rPr>
          <w:color w:val="000000" w:themeColor="text1"/>
        </w:rPr>
        <w:t>and</w:t>
      </w:r>
      <w:r w:rsidRPr="00F76910">
        <w:rPr>
          <w:color w:val="000000" w:themeColor="text1"/>
          <w:spacing w:val="20"/>
        </w:rPr>
        <w:t xml:space="preserve"> </w:t>
      </w:r>
      <w:r w:rsidRPr="00F76910">
        <w:rPr>
          <w:color w:val="000000" w:themeColor="text1"/>
        </w:rPr>
        <w:t>individuals</w:t>
      </w:r>
      <w:r w:rsidRPr="00F76910">
        <w:rPr>
          <w:color w:val="000000" w:themeColor="text1"/>
          <w:spacing w:val="32"/>
        </w:rPr>
        <w:t xml:space="preserve"> </w:t>
      </w:r>
      <w:r w:rsidRPr="00F76910">
        <w:rPr>
          <w:color w:val="000000" w:themeColor="text1"/>
        </w:rPr>
        <w:t>housed</w:t>
      </w:r>
      <w:r w:rsidRPr="00F76910">
        <w:rPr>
          <w:color w:val="000000" w:themeColor="text1"/>
          <w:spacing w:val="35"/>
        </w:rPr>
        <w:t xml:space="preserve"> </w:t>
      </w:r>
      <w:r w:rsidRPr="00F76910">
        <w:rPr>
          <w:color w:val="000000" w:themeColor="text1"/>
        </w:rPr>
        <w:t>in</w:t>
      </w:r>
      <w:r w:rsidRPr="00F76910">
        <w:rPr>
          <w:color w:val="000000" w:themeColor="text1"/>
          <w:spacing w:val="7"/>
        </w:rPr>
        <w:t xml:space="preserve"> </w:t>
      </w:r>
      <w:r w:rsidRPr="00F76910">
        <w:rPr>
          <w:color w:val="000000" w:themeColor="text1"/>
        </w:rPr>
        <w:t>our</w:t>
      </w:r>
      <w:r w:rsidRPr="00F76910">
        <w:rPr>
          <w:color w:val="000000" w:themeColor="text1"/>
          <w:spacing w:val="13"/>
        </w:rPr>
        <w:t xml:space="preserve"> </w:t>
      </w:r>
      <w:r w:rsidRPr="00F76910">
        <w:rPr>
          <w:color w:val="000000" w:themeColor="text1"/>
        </w:rPr>
        <w:t>programs.</w:t>
      </w:r>
    </w:p>
    <w:p w14:paraId="28632D60" w14:textId="77777777" w:rsidR="00AA3886" w:rsidRDefault="00F13CA1" w:rsidP="00F76910">
      <w:pPr>
        <w:jc w:val="both"/>
        <w:rPr>
          <w:rFonts w:cs="Times New Roman"/>
          <w:color w:val="000000" w:themeColor="text1"/>
          <w:szCs w:val="26"/>
        </w:rPr>
      </w:pPr>
      <w:r>
        <w:rPr>
          <w:rFonts w:ascii="Times New Roman" w:hAnsi="Times New Roman" w:cs="Times New Roman"/>
          <w:b/>
          <w:noProof/>
          <w:color w:val="2E74B5" w:themeColor="accent1" w:themeShade="BF"/>
          <w:sz w:val="24"/>
          <w:szCs w:val="26"/>
        </w:rPr>
        <w:drawing>
          <wp:anchor distT="0" distB="0" distL="114300" distR="114300" simplePos="0" relativeHeight="251658240" behindDoc="1" locked="0" layoutInCell="1" allowOverlap="1" wp14:anchorId="44A991D4" wp14:editId="384C47A9">
            <wp:simplePos x="0" y="0"/>
            <wp:positionH relativeFrom="margin">
              <wp:align>left</wp:align>
            </wp:positionH>
            <wp:positionV relativeFrom="paragraph">
              <wp:posOffset>48895</wp:posOffset>
            </wp:positionV>
            <wp:extent cx="1139286" cy="428139"/>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gel Signature.png"/>
                    <pic:cNvPicPr/>
                  </pic:nvPicPr>
                  <pic:blipFill>
                    <a:blip r:embed="rId8">
                      <a:extLst>
                        <a:ext uri="{28A0092B-C50C-407E-A947-70E740481C1C}">
                          <a14:useLocalDpi xmlns:a14="http://schemas.microsoft.com/office/drawing/2010/main" val="0"/>
                        </a:ext>
                      </a:extLst>
                    </a:blip>
                    <a:stretch>
                      <a:fillRect/>
                    </a:stretch>
                  </pic:blipFill>
                  <pic:spPr>
                    <a:xfrm>
                      <a:off x="0" y="0"/>
                      <a:ext cx="1139286" cy="428139"/>
                    </a:xfrm>
                    <a:prstGeom prst="rect">
                      <a:avLst/>
                    </a:prstGeom>
                  </pic:spPr>
                </pic:pic>
              </a:graphicData>
            </a:graphic>
          </wp:anchor>
        </w:drawing>
      </w:r>
    </w:p>
    <w:p w14:paraId="7FD08CB8" w14:textId="77777777" w:rsidR="00F76910" w:rsidRDefault="00F76910" w:rsidP="00F76910">
      <w:pPr>
        <w:rPr>
          <w:rFonts w:cs="Times New Roman"/>
          <w:szCs w:val="26"/>
        </w:rPr>
      </w:pPr>
      <w:r>
        <w:rPr>
          <w:rFonts w:cs="Times New Roman"/>
          <w:szCs w:val="26"/>
        </w:rPr>
        <w:t>_________________________________________</w:t>
      </w:r>
      <w:r>
        <w:rPr>
          <w:rFonts w:cs="Times New Roman"/>
          <w:szCs w:val="26"/>
        </w:rPr>
        <w:tab/>
      </w:r>
    </w:p>
    <w:p w14:paraId="7EB36EAB" w14:textId="77777777" w:rsidR="00F76910" w:rsidRPr="00F76910" w:rsidRDefault="00F76910" w:rsidP="00F76910">
      <w:pPr>
        <w:rPr>
          <w:rFonts w:cs="Times New Roman"/>
          <w:szCs w:val="26"/>
        </w:rPr>
      </w:pPr>
      <w:r>
        <w:rPr>
          <w:rFonts w:cs="Times New Roman"/>
          <w:szCs w:val="26"/>
        </w:rPr>
        <w:t>Angel M. Perez, Executive Director</w:t>
      </w:r>
      <w:r>
        <w:rPr>
          <w:rFonts w:cs="Times New Roman"/>
          <w:szCs w:val="26"/>
        </w:rPr>
        <w:tab/>
      </w:r>
      <w:r>
        <w:rPr>
          <w:rFonts w:cs="Times New Roman"/>
          <w:szCs w:val="26"/>
        </w:rPr>
        <w:tab/>
      </w:r>
      <w:r>
        <w:rPr>
          <w:rFonts w:cs="Times New Roman"/>
          <w:szCs w:val="26"/>
        </w:rPr>
        <w:tab/>
      </w:r>
    </w:p>
    <w:sectPr w:rsidR="00F76910" w:rsidRPr="00F76910" w:rsidSect="00AA3886">
      <w:type w:val="continuous"/>
      <w:pgSz w:w="12240" w:h="15840"/>
      <w:pgMar w:top="1440" w:right="1440" w:bottom="1008" w:left="1440"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557FC" w14:textId="77777777" w:rsidR="00020BAC" w:rsidRDefault="00020BAC" w:rsidP="00755FFF">
      <w:r>
        <w:separator/>
      </w:r>
    </w:p>
  </w:endnote>
  <w:endnote w:type="continuationSeparator" w:id="0">
    <w:p w14:paraId="45D7FC7A" w14:textId="77777777" w:rsidR="00020BAC" w:rsidRDefault="00020BAC" w:rsidP="00755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AA0F3" w14:textId="77777777" w:rsidR="00020BAC" w:rsidRDefault="00020BAC" w:rsidP="00755FFF">
      <w:r>
        <w:separator/>
      </w:r>
    </w:p>
  </w:footnote>
  <w:footnote w:type="continuationSeparator" w:id="0">
    <w:p w14:paraId="46D43CD4" w14:textId="77777777" w:rsidR="00020BAC" w:rsidRDefault="00020BAC" w:rsidP="00755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BD051" w14:textId="014789C0" w:rsidR="00755FFF" w:rsidRPr="004C2B51" w:rsidRDefault="004C2B51" w:rsidP="00F76910">
    <w:pPr>
      <w:tabs>
        <w:tab w:val="left" w:pos="7490"/>
      </w:tabs>
      <w:spacing w:before="31"/>
      <w:ind w:left="12"/>
      <w:jc w:val="center"/>
      <w:rPr>
        <w:rFonts w:ascii="Times New Roman" w:eastAsia="Times New Roman" w:hAnsi="Times New Roman" w:cs="Times New Roman"/>
        <w:color w:val="FF0000"/>
        <w:sz w:val="40"/>
        <w:szCs w:val="34"/>
      </w:rPr>
    </w:pPr>
    <w:r w:rsidRPr="004C2B51">
      <w:rPr>
        <w:rFonts w:ascii="Times New Roman"/>
        <w:b/>
        <w:color w:val="FF0000"/>
        <w:w w:val="105"/>
        <w:sz w:val="40"/>
      </w:rPr>
      <w:t xml:space="preserve">NJAC </w:t>
    </w:r>
    <w:r w:rsidR="00755FFF" w:rsidRPr="004C2B51">
      <w:rPr>
        <w:rFonts w:ascii="Times New Roman"/>
        <w:b/>
        <w:color w:val="FF0000"/>
        <w:w w:val="105"/>
        <w:sz w:val="40"/>
      </w:rPr>
      <w:t>ANNUAL</w:t>
    </w:r>
    <w:r w:rsidR="00755FFF" w:rsidRPr="004C2B51">
      <w:rPr>
        <w:rFonts w:ascii="Times New Roman"/>
        <w:b/>
        <w:color w:val="FF0000"/>
        <w:spacing w:val="5"/>
        <w:w w:val="105"/>
        <w:sz w:val="40"/>
      </w:rPr>
      <w:t xml:space="preserve"> </w:t>
    </w:r>
    <w:r w:rsidR="00755FFF" w:rsidRPr="004C2B51">
      <w:rPr>
        <w:rFonts w:ascii="Times New Roman"/>
        <w:b/>
        <w:color w:val="FF0000"/>
        <w:w w:val="105"/>
        <w:sz w:val="40"/>
      </w:rPr>
      <w:t>PREA</w:t>
    </w:r>
    <w:r w:rsidR="00755FFF" w:rsidRPr="004C2B51">
      <w:rPr>
        <w:rFonts w:ascii="Times New Roman"/>
        <w:b/>
        <w:color w:val="FF0000"/>
        <w:spacing w:val="-16"/>
        <w:w w:val="105"/>
        <w:sz w:val="40"/>
      </w:rPr>
      <w:t xml:space="preserve"> </w:t>
    </w:r>
    <w:r w:rsidR="00755FFF" w:rsidRPr="004C2B51">
      <w:rPr>
        <w:rFonts w:ascii="Times New Roman"/>
        <w:b/>
        <w:color w:val="FF0000"/>
        <w:w w:val="105"/>
        <w:sz w:val="40"/>
      </w:rPr>
      <w:t xml:space="preserve">REPORT </w:t>
    </w:r>
    <w:r w:rsidR="00C82C08">
      <w:rPr>
        <w:rFonts w:ascii="Times New Roman"/>
        <w:b/>
        <w:color w:val="FF0000"/>
        <w:w w:val="105"/>
        <w:sz w:val="40"/>
      </w:rPr>
      <w:t>20</w:t>
    </w:r>
    <w:r w:rsidR="00296189">
      <w:rPr>
        <w:rFonts w:ascii="Times New Roman"/>
        <w:b/>
        <w:color w:val="FF0000"/>
        <w:w w:val="105"/>
        <w:sz w:val="40"/>
      </w:rPr>
      <w:t>2</w:t>
    </w:r>
    <w:r w:rsidR="003905E0">
      <w:rPr>
        <w:rFonts w:ascii="Times New Roman"/>
        <w:b/>
        <w:color w:val="FF0000"/>
        <w:w w:val="105"/>
        <w:sz w:val="40"/>
      </w:rPr>
      <w:t>3</w:t>
    </w:r>
  </w:p>
  <w:p w14:paraId="3733913D" w14:textId="77777777" w:rsidR="00755FFF" w:rsidRDefault="00755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C90200"/>
    <w:multiLevelType w:val="hybridMultilevel"/>
    <w:tmpl w:val="F266B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F03E14"/>
    <w:multiLevelType w:val="hybridMultilevel"/>
    <w:tmpl w:val="AAF4D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7E6354"/>
    <w:multiLevelType w:val="hybridMultilevel"/>
    <w:tmpl w:val="AE3498F8"/>
    <w:lvl w:ilvl="0" w:tplc="8196C8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0258168">
    <w:abstractNumId w:val="0"/>
  </w:num>
  <w:num w:numId="2" w16cid:durableId="1028601211">
    <w:abstractNumId w:val="2"/>
  </w:num>
  <w:num w:numId="3" w16cid:durableId="639386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FFF"/>
    <w:rsid w:val="00020BAC"/>
    <w:rsid w:val="001A7C9A"/>
    <w:rsid w:val="00296189"/>
    <w:rsid w:val="003905E0"/>
    <w:rsid w:val="004C2B51"/>
    <w:rsid w:val="00510560"/>
    <w:rsid w:val="006E29A4"/>
    <w:rsid w:val="00725EBE"/>
    <w:rsid w:val="00755FFF"/>
    <w:rsid w:val="00823F59"/>
    <w:rsid w:val="00885CF0"/>
    <w:rsid w:val="009C4888"/>
    <w:rsid w:val="009E0AC2"/>
    <w:rsid w:val="00AA3886"/>
    <w:rsid w:val="00B67BE4"/>
    <w:rsid w:val="00C82C08"/>
    <w:rsid w:val="00CC1085"/>
    <w:rsid w:val="00F13CA1"/>
    <w:rsid w:val="00F76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D95C4"/>
  <w15:chartTrackingRefBased/>
  <w15:docId w15:val="{ED5BDD3A-96B1-4D09-8C7B-6B3FF59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55FFF"/>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FFF"/>
    <w:pPr>
      <w:tabs>
        <w:tab w:val="center" w:pos="4680"/>
        <w:tab w:val="right" w:pos="9360"/>
      </w:tabs>
    </w:pPr>
  </w:style>
  <w:style w:type="character" w:customStyle="1" w:styleId="HeaderChar">
    <w:name w:val="Header Char"/>
    <w:basedOn w:val="DefaultParagraphFont"/>
    <w:link w:val="Header"/>
    <w:uiPriority w:val="99"/>
    <w:rsid w:val="00755FFF"/>
  </w:style>
  <w:style w:type="paragraph" w:styleId="Footer">
    <w:name w:val="footer"/>
    <w:basedOn w:val="Normal"/>
    <w:link w:val="FooterChar"/>
    <w:uiPriority w:val="99"/>
    <w:unhideWhenUsed/>
    <w:rsid w:val="00755FFF"/>
    <w:pPr>
      <w:tabs>
        <w:tab w:val="center" w:pos="4680"/>
        <w:tab w:val="right" w:pos="9360"/>
      </w:tabs>
    </w:pPr>
  </w:style>
  <w:style w:type="character" w:customStyle="1" w:styleId="FooterChar">
    <w:name w:val="Footer Char"/>
    <w:basedOn w:val="DefaultParagraphFont"/>
    <w:link w:val="Footer"/>
    <w:uiPriority w:val="99"/>
    <w:rsid w:val="00755FFF"/>
  </w:style>
  <w:style w:type="paragraph" w:styleId="ListParagraph">
    <w:name w:val="List Paragraph"/>
    <w:basedOn w:val="Normal"/>
    <w:uiPriority w:val="34"/>
    <w:qFormat/>
    <w:rsid w:val="009E0AC2"/>
    <w:pPr>
      <w:ind w:left="720"/>
      <w:contextualSpacing/>
    </w:pPr>
  </w:style>
  <w:style w:type="paragraph" w:customStyle="1" w:styleId="TableParagraph">
    <w:name w:val="Table Paragraph"/>
    <w:basedOn w:val="Normal"/>
    <w:uiPriority w:val="1"/>
    <w:qFormat/>
    <w:rsid w:val="00510560"/>
  </w:style>
  <w:style w:type="table" w:styleId="TableGrid">
    <w:name w:val="Table Grid"/>
    <w:basedOn w:val="TableNormal"/>
    <w:uiPriority w:val="39"/>
    <w:rsid w:val="00510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2B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B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qperkins</dc:creator>
  <cp:keywords/>
  <dc:description/>
  <cp:lastModifiedBy>Quarticha Perkins</cp:lastModifiedBy>
  <cp:revision>2</cp:revision>
  <cp:lastPrinted>2018-10-23T20:27:00Z</cp:lastPrinted>
  <dcterms:created xsi:type="dcterms:W3CDTF">2024-12-11T16:09:00Z</dcterms:created>
  <dcterms:modified xsi:type="dcterms:W3CDTF">2024-12-11T16:09:00Z</dcterms:modified>
</cp:coreProperties>
</file>